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72A44955" w:rsidR="00040449" w:rsidRPr="00EE01D3" w:rsidRDefault="001E7045" w:rsidP="00EB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pacing w:val="-4"/>
          <w:sz w:val="24"/>
          <w:szCs w:val="24"/>
        </w:rPr>
      </w:pPr>
      <w:r w:rsidRPr="00EE01D3">
        <w:rPr>
          <w:rFonts w:ascii="Arial" w:hAnsi="Arial" w:cs="Arial"/>
          <w:b/>
          <w:bCs/>
          <w:spacing w:val="-4"/>
          <w:sz w:val="24"/>
          <w:szCs w:val="24"/>
        </w:rPr>
        <w:t>Bac 202</w:t>
      </w:r>
      <w:r w:rsidR="00BD540B">
        <w:rPr>
          <w:rFonts w:ascii="Arial" w:hAnsi="Arial" w:cs="Arial"/>
          <w:b/>
          <w:bCs/>
          <w:spacing w:val="-4"/>
          <w:sz w:val="24"/>
          <w:szCs w:val="24"/>
        </w:rPr>
        <w:t>4</w:t>
      </w:r>
      <w:r w:rsidRPr="00EE01D3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DE7BCC" w:rsidRPr="00EE01D3">
        <w:rPr>
          <w:rFonts w:ascii="Arial" w:hAnsi="Arial" w:cs="Arial"/>
          <w:b/>
          <w:bCs/>
          <w:spacing w:val="-4"/>
          <w:sz w:val="24"/>
          <w:szCs w:val="24"/>
        </w:rPr>
        <w:t>Asie</w:t>
      </w:r>
      <w:r w:rsidRPr="00EE01D3">
        <w:rPr>
          <w:rFonts w:ascii="Arial" w:hAnsi="Arial" w:cs="Arial"/>
          <w:b/>
          <w:bCs/>
          <w:spacing w:val="-4"/>
          <w:sz w:val="24"/>
          <w:szCs w:val="24"/>
        </w:rPr>
        <w:t xml:space="preserve"> Jour </w:t>
      </w:r>
      <w:r w:rsidR="00FE278D">
        <w:rPr>
          <w:rFonts w:ascii="Arial" w:hAnsi="Arial" w:cs="Arial"/>
          <w:b/>
          <w:bCs/>
          <w:spacing w:val="-4"/>
          <w:sz w:val="24"/>
          <w:szCs w:val="24"/>
        </w:rPr>
        <w:t>2</w:t>
      </w:r>
      <w:r w:rsidRPr="00EE01D3">
        <w:rPr>
          <w:rFonts w:ascii="Arial" w:hAnsi="Arial" w:cs="Arial"/>
          <w:b/>
          <w:bCs/>
          <w:spacing w:val="-4"/>
          <w:sz w:val="24"/>
          <w:szCs w:val="24"/>
        </w:rPr>
        <w:tab/>
      </w:r>
      <w:hyperlink r:id="rId5" w:history="1">
        <w:r w:rsidRPr="00EE01D3">
          <w:rPr>
            <w:rStyle w:val="Lienhypertexte"/>
            <w:rFonts w:ascii="Arial" w:hAnsi="Arial" w:cs="Arial"/>
            <w:b/>
            <w:bCs/>
            <w:spacing w:val="-4"/>
            <w:sz w:val="24"/>
            <w:szCs w:val="24"/>
          </w:rPr>
          <w:t>https://labolycee.org</w:t>
        </w:r>
      </w:hyperlink>
      <w:r w:rsidRPr="00EE01D3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</w:p>
    <w:p w14:paraId="0F967BC5" w14:textId="269F52D3" w:rsidR="00EB63DF" w:rsidRPr="00EE01D3" w:rsidRDefault="00EB63DF" w:rsidP="00EB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pacing w:val="-4"/>
          <w:sz w:val="24"/>
          <w:szCs w:val="24"/>
        </w:rPr>
      </w:pPr>
      <w:r w:rsidRPr="00EE01D3">
        <w:rPr>
          <w:rFonts w:ascii="Arial" w:hAnsi="Arial" w:cs="Arial"/>
          <w:b/>
          <w:bCs/>
          <w:spacing w:val="-4"/>
          <w:sz w:val="24"/>
          <w:szCs w:val="24"/>
        </w:rPr>
        <w:t xml:space="preserve">EXERCICE </w:t>
      </w:r>
      <w:r w:rsidR="00106EA1">
        <w:rPr>
          <w:rFonts w:ascii="Arial" w:hAnsi="Arial" w:cs="Arial"/>
          <w:b/>
          <w:bCs/>
          <w:spacing w:val="-4"/>
          <w:sz w:val="24"/>
          <w:szCs w:val="24"/>
        </w:rPr>
        <w:t>3</w:t>
      </w:r>
      <w:r w:rsidRPr="00EE01D3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03487F">
        <w:rPr>
          <w:rFonts w:ascii="Arial" w:hAnsi="Arial" w:cs="Arial"/>
          <w:b/>
          <w:bCs/>
          <w:spacing w:val="-4"/>
          <w:sz w:val="24"/>
          <w:szCs w:val="24"/>
        </w:rPr>
        <w:t xml:space="preserve">Santé alimentaire – ne pas abuser des nitrites </w:t>
      </w:r>
      <w:r w:rsidR="0003487F" w:rsidRPr="00EE01D3">
        <w:rPr>
          <w:rFonts w:ascii="Arial" w:hAnsi="Arial" w:cs="Arial"/>
          <w:b/>
          <w:bCs/>
          <w:spacing w:val="-4"/>
          <w:sz w:val="24"/>
          <w:szCs w:val="24"/>
        </w:rPr>
        <w:t>(</w:t>
      </w:r>
      <w:r w:rsidR="0003487F">
        <w:rPr>
          <w:rFonts w:ascii="Arial" w:hAnsi="Arial" w:cs="Arial"/>
          <w:b/>
          <w:bCs/>
          <w:spacing w:val="-4"/>
          <w:sz w:val="24"/>
          <w:szCs w:val="24"/>
        </w:rPr>
        <w:t>4</w:t>
      </w:r>
      <w:r w:rsidR="0003487F" w:rsidRPr="00EE01D3">
        <w:rPr>
          <w:rFonts w:ascii="Arial" w:hAnsi="Arial" w:cs="Arial"/>
          <w:b/>
          <w:bCs/>
          <w:spacing w:val="-4"/>
          <w:sz w:val="24"/>
          <w:szCs w:val="24"/>
        </w:rPr>
        <w:t xml:space="preserve"> points)</w:t>
      </w:r>
    </w:p>
    <w:p w14:paraId="6D8AB430" w14:textId="1520F9BB" w:rsidR="000E5C1D" w:rsidRDefault="000E5C1D" w:rsidP="00FE278D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14:paraId="3A78A0BB" w14:textId="77777777" w:rsidR="001B787C" w:rsidRDefault="001B787C" w:rsidP="00FE278D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14:paraId="2331D1F9" w14:textId="595F24E5" w:rsidR="00FE278D" w:rsidRPr="00FE278D" w:rsidRDefault="00FE278D" w:rsidP="00BC5C78">
      <w:pPr>
        <w:spacing w:after="120" w:line="24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FE278D">
        <w:rPr>
          <w:rFonts w:ascii="Arial" w:hAnsi="Arial" w:cs="Arial"/>
          <w:spacing w:val="6"/>
          <w:sz w:val="24"/>
          <w:szCs w:val="24"/>
        </w:rPr>
        <w:t>L’agence nationale de sécurité sanitaire de l’alimentation (ANSES) a confirmé que les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FE278D">
        <w:rPr>
          <w:rFonts w:ascii="Arial" w:hAnsi="Arial" w:cs="Arial"/>
          <w:spacing w:val="6"/>
          <w:sz w:val="24"/>
          <w:szCs w:val="24"/>
        </w:rPr>
        <w:t>nitrites ajoutés dans certaines viandes pour leur conservation (viandes «</w:t>
      </w:r>
      <w:r w:rsidR="007A0F5A">
        <w:rPr>
          <w:rFonts w:ascii="Arial" w:hAnsi="Arial" w:cs="Arial"/>
          <w:spacing w:val="6"/>
          <w:sz w:val="24"/>
          <w:szCs w:val="24"/>
        </w:rPr>
        <w:t> </w:t>
      </w:r>
      <w:r w:rsidRPr="00FE278D">
        <w:rPr>
          <w:rFonts w:ascii="Arial" w:hAnsi="Arial" w:cs="Arial"/>
          <w:spacing w:val="6"/>
          <w:sz w:val="24"/>
          <w:szCs w:val="24"/>
        </w:rPr>
        <w:t>en salaison</w:t>
      </w:r>
      <w:r w:rsidR="007A0F5A">
        <w:rPr>
          <w:rFonts w:ascii="Arial" w:hAnsi="Arial" w:cs="Arial"/>
          <w:spacing w:val="6"/>
          <w:sz w:val="24"/>
          <w:szCs w:val="24"/>
        </w:rPr>
        <w:t> </w:t>
      </w:r>
      <w:r w:rsidRPr="00FE278D">
        <w:rPr>
          <w:rFonts w:ascii="Arial" w:hAnsi="Arial" w:cs="Arial"/>
          <w:spacing w:val="6"/>
          <w:sz w:val="24"/>
          <w:szCs w:val="24"/>
        </w:rPr>
        <w:t>») sont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FE278D">
        <w:rPr>
          <w:rFonts w:ascii="Arial" w:hAnsi="Arial" w:cs="Arial"/>
          <w:spacing w:val="6"/>
          <w:sz w:val="24"/>
          <w:szCs w:val="24"/>
        </w:rPr>
        <w:t>un facteur de risque d’apparition du cancer colorectal. Elle recommande d’en réduire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FE278D">
        <w:rPr>
          <w:rFonts w:ascii="Arial" w:hAnsi="Arial" w:cs="Arial"/>
          <w:spacing w:val="6"/>
          <w:sz w:val="24"/>
          <w:szCs w:val="24"/>
        </w:rPr>
        <w:t>l’usage, sans les interdire.</w:t>
      </w:r>
    </w:p>
    <w:p w14:paraId="41C17208" w14:textId="335FCF54" w:rsidR="00FE278D" w:rsidRDefault="00FE278D" w:rsidP="00FE278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FE278D">
        <w:rPr>
          <w:rFonts w:ascii="Arial" w:hAnsi="Arial" w:cs="Arial"/>
          <w:spacing w:val="6"/>
          <w:sz w:val="24"/>
          <w:szCs w:val="24"/>
        </w:rPr>
        <w:t>À l’échelle individuelle, la dose journalière admissible (DJA) établie par l’autorité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FE278D">
        <w:rPr>
          <w:rFonts w:ascii="Arial" w:hAnsi="Arial" w:cs="Arial"/>
          <w:spacing w:val="6"/>
          <w:sz w:val="24"/>
          <w:szCs w:val="24"/>
        </w:rPr>
        <w:t>européenne de sécurité des aliments (EFSA) sert de repère pour permettre à chacun de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FE278D">
        <w:rPr>
          <w:rFonts w:ascii="Arial" w:hAnsi="Arial" w:cs="Arial"/>
          <w:spacing w:val="6"/>
          <w:sz w:val="24"/>
          <w:szCs w:val="24"/>
        </w:rPr>
        <w:t>réguler sa consommation et ainsi limiter les risques. Le principe d’une DJA est d’évaluer la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FE278D">
        <w:rPr>
          <w:rFonts w:ascii="Arial" w:hAnsi="Arial" w:cs="Arial"/>
          <w:spacing w:val="6"/>
          <w:sz w:val="24"/>
          <w:szCs w:val="24"/>
        </w:rPr>
        <w:t>quantité maximale d’un composé qu’un individu peut consommer quotidiennement toute sa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FE278D">
        <w:rPr>
          <w:rFonts w:ascii="Arial" w:hAnsi="Arial" w:cs="Arial"/>
          <w:spacing w:val="6"/>
          <w:sz w:val="24"/>
          <w:szCs w:val="24"/>
        </w:rPr>
        <w:t>vie sans risque pour sa santé. C’est une quantité exprimée en milligramme de composé par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FE278D">
        <w:rPr>
          <w:rFonts w:ascii="Arial" w:hAnsi="Arial" w:cs="Arial"/>
          <w:spacing w:val="6"/>
          <w:sz w:val="24"/>
          <w:szCs w:val="24"/>
        </w:rPr>
        <w:t>kilogramme de masse corporelle.</w:t>
      </w:r>
    </w:p>
    <w:p w14:paraId="4401A33D" w14:textId="77777777" w:rsidR="007A0F5A" w:rsidRPr="00FE278D" w:rsidRDefault="007A0F5A" w:rsidP="00FE278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35407ED7" w14:textId="7EDB9597" w:rsidR="00FE278D" w:rsidRPr="007A0F5A" w:rsidRDefault="00FE278D" w:rsidP="00FE278D">
      <w:pPr>
        <w:spacing w:after="0" w:line="240" w:lineRule="auto"/>
        <w:jc w:val="both"/>
        <w:rPr>
          <w:rFonts w:ascii="Arial" w:hAnsi="Arial" w:cs="Arial"/>
          <w:b/>
          <w:bCs/>
          <w:spacing w:val="6"/>
          <w:sz w:val="24"/>
          <w:szCs w:val="24"/>
        </w:rPr>
      </w:pPr>
      <w:r w:rsidRPr="007A0F5A">
        <w:rPr>
          <w:rFonts w:ascii="Arial" w:hAnsi="Arial" w:cs="Arial"/>
          <w:b/>
          <w:bCs/>
          <w:spacing w:val="6"/>
          <w:sz w:val="24"/>
          <w:szCs w:val="24"/>
        </w:rPr>
        <w:t>Donnée :</w:t>
      </w:r>
    </w:p>
    <w:p w14:paraId="064EC118" w14:textId="6C3BBFBB" w:rsidR="00FE278D" w:rsidRPr="007A0F5A" w:rsidRDefault="00FE278D" w:rsidP="007A0F5A">
      <w:pPr>
        <w:pStyle w:val="Paragraphedeliste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6"/>
          <w:sz w:val="24"/>
          <w:szCs w:val="24"/>
        </w:rPr>
      </w:pPr>
      <w:r w:rsidRPr="007A0F5A">
        <w:rPr>
          <w:rFonts w:ascii="Arial" w:hAnsi="Arial" w:cs="Arial"/>
          <w:spacing w:val="6"/>
          <w:sz w:val="24"/>
          <w:szCs w:val="24"/>
        </w:rPr>
        <w:t>Pour les nitrites, la DJA est de 0,07 mg par kilogramme de masse corporelle.</w:t>
      </w:r>
    </w:p>
    <w:p w14:paraId="6ED7307C" w14:textId="77777777" w:rsidR="007A0F5A" w:rsidRDefault="007A0F5A" w:rsidP="00FE278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74F6F57B" w14:textId="0FA95965" w:rsidR="00FE278D" w:rsidRPr="00FE278D" w:rsidRDefault="00FE278D" w:rsidP="00FE278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FE278D">
        <w:rPr>
          <w:rFonts w:ascii="Arial" w:hAnsi="Arial" w:cs="Arial"/>
          <w:spacing w:val="6"/>
          <w:sz w:val="24"/>
          <w:szCs w:val="24"/>
        </w:rPr>
        <w:t>Dans cet exercice, on souhaite déterminer la quantité de nitrite contenue dans une tranche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FE278D">
        <w:rPr>
          <w:rFonts w:ascii="Arial" w:hAnsi="Arial" w:cs="Arial"/>
          <w:spacing w:val="6"/>
          <w:sz w:val="24"/>
          <w:szCs w:val="24"/>
        </w:rPr>
        <w:t>de viande en salaison et estimer combien de tranches peut manger une personne de 70 kg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FE278D">
        <w:rPr>
          <w:rFonts w:ascii="Arial" w:hAnsi="Arial" w:cs="Arial"/>
          <w:spacing w:val="6"/>
          <w:sz w:val="24"/>
          <w:szCs w:val="24"/>
        </w:rPr>
        <w:t>dans une journée en respectant la DJA.</w:t>
      </w:r>
    </w:p>
    <w:p w14:paraId="0021820E" w14:textId="77777777" w:rsidR="007A0F5A" w:rsidRDefault="007A0F5A" w:rsidP="00FE278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2C3D0F25" w14:textId="77777777" w:rsidR="00BC5C78" w:rsidRDefault="00BC5C78" w:rsidP="00FE278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413461CD" w14:textId="6A2DF51E" w:rsidR="00FE278D" w:rsidRPr="007A0F5A" w:rsidRDefault="00FE278D" w:rsidP="00FE278D">
      <w:pPr>
        <w:spacing w:after="0" w:line="240" w:lineRule="auto"/>
        <w:jc w:val="both"/>
        <w:rPr>
          <w:rFonts w:ascii="Arial" w:hAnsi="Arial" w:cs="Arial"/>
          <w:b/>
          <w:bCs/>
          <w:spacing w:val="6"/>
          <w:sz w:val="24"/>
          <w:szCs w:val="24"/>
        </w:rPr>
      </w:pPr>
      <w:r w:rsidRPr="007A0F5A">
        <w:rPr>
          <w:rFonts w:ascii="Arial" w:hAnsi="Arial" w:cs="Arial"/>
          <w:b/>
          <w:bCs/>
          <w:spacing w:val="6"/>
          <w:sz w:val="24"/>
          <w:szCs w:val="24"/>
        </w:rPr>
        <w:t>Mode opératoire</w:t>
      </w:r>
      <w:r w:rsidR="007A0F5A" w:rsidRPr="007A0F5A">
        <w:rPr>
          <w:rFonts w:ascii="Arial" w:hAnsi="Arial" w:cs="Arial"/>
          <w:b/>
          <w:bCs/>
          <w:spacing w:val="6"/>
          <w:sz w:val="24"/>
          <w:szCs w:val="24"/>
        </w:rPr>
        <w:t> :</w:t>
      </w:r>
      <w:r w:rsidRPr="007A0F5A">
        <w:rPr>
          <w:rFonts w:ascii="Arial" w:hAnsi="Arial" w:cs="Arial"/>
          <w:b/>
          <w:bCs/>
          <w:spacing w:val="6"/>
          <w:sz w:val="24"/>
          <w:szCs w:val="24"/>
        </w:rPr>
        <w:t xml:space="preserve"> dosage par spectrophotométrie</w:t>
      </w:r>
    </w:p>
    <w:p w14:paraId="2CA251EE" w14:textId="77777777" w:rsidR="007A0F5A" w:rsidRDefault="007A0F5A" w:rsidP="00FE278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71F146CD" w14:textId="58255E5F" w:rsidR="00FE278D" w:rsidRPr="00FE278D" w:rsidRDefault="00FE278D" w:rsidP="007A0F5A">
      <w:pPr>
        <w:spacing w:after="120" w:line="24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FE278D">
        <w:rPr>
          <w:rFonts w:ascii="Arial" w:hAnsi="Arial" w:cs="Arial"/>
          <w:spacing w:val="6"/>
          <w:sz w:val="24"/>
          <w:szCs w:val="24"/>
        </w:rPr>
        <w:t>Pour déterminer la quantité d’ions nitrite présents dans une tranche de viande en salaison,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FE278D">
        <w:rPr>
          <w:rFonts w:ascii="Arial" w:hAnsi="Arial" w:cs="Arial"/>
          <w:spacing w:val="6"/>
          <w:sz w:val="24"/>
          <w:szCs w:val="24"/>
        </w:rPr>
        <w:t>on procède dans un premier temps à un traitement d’extraction de ces ions, non détaillé ici,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FE278D">
        <w:rPr>
          <w:rFonts w:ascii="Arial" w:hAnsi="Arial" w:cs="Arial"/>
          <w:spacing w:val="6"/>
          <w:sz w:val="24"/>
          <w:szCs w:val="24"/>
        </w:rPr>
        <w:t>suivi de leur mise en solution.</w:t>
      </w:r>
    </w:p>
    <w:p w14:paraId="4232A8E6" w14:textId="448A8576" w:rsidR="00106EA1" w:rsidRDefault="00FE278D" w:rsidP="00FE278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FE278D">
        <w:rPr>
          <w:rFonts w:ascii="Arial" w:hAnsi="Arial" w:cs="Arial"/>
          <w:spacing w:val="6"/>
          <w:sz w:val="24"/>
          <w:szCs w:val="24"/>
        </w:rPr>
        <w:t>On souhaite alors procéder au dosage de ces ions par spectrophotométrie. Toutefois, les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FE278D">
        <w:rPr>
          <w:rFonts w:ascii="Arial" w:hAnsi="Arial" w:cs="Arial"/>
          <w:spacing w:val="6"/>
          <w:sz w:val="24"/>
          <w:szCs w:val="24"/>
        </w:rPr>
        <w:t>ions nitrite sont incolores en solution. Pour résoudre cette difficulté, on utilise le «</w:t>
      </w:r>
      <w:r w:rsidR="007A0F5A">
        <w:rPr>
          <w:rFonts w:ascii="Arial" w:hAnsi="Arial" w:cs="Arial"/>
          <w:spacing w:val="6"/>
          <w:sz w:val="24"/>
          <w:szCs w:val="24"/>
        </w:rPr>
        <w:t> </w:t>
      </w:r>
      <w:r w:rsidRPr="00FE278D">
        <w:rPr>
          <w:rFonts w:ascii="Arial" w:hAnsi="Arial" w:cs="Arial"/>
          <w:spacing w:val="6"/>
          <w:sz w:val="24"/>
          <w:szCs w:val="24"/>
        </w:rPr>
        <w:t>réactif de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FE278D">
        <w:rPr>
          <w:rFonts w:ascii="Arial" w:hAnsi="Arial" w:cs="Arial"/>
          <w:spacing w:val="6"/>
          <w:sz w:val="24"/>
          <w:szCs w:val="24"/>
        </w:rPr>
        <w:t>Griess</w:t>
      </w:r>
      <w:r w:rsidR="007A0F5A">
        <w:rPr>
          <w:rFonts w:ascii="Arial" w:hAnsi="Arial" w:cs="Arial"/>
          <w:spacing w:val="6"/>
          <w:sz w:val="24"/>
          <w:szCs w:val="24"/>
        </w:rPr>
        <w:t> </w:t>
      </w:r>
      <w:r w:rsidRPr="00FE278D">
        <w:rPr>
          <w:rFonts w:ascii="Arial" w:hAnsi="Arial" w:cs="Arial"/>
          <w:spacing w:val="6"/>
          <w:sz w:val="24"/>
          <w:szCs w:val="24"/>
        </w:rPr>
        <w:t>», une espèce chimique avec laquelle les ions nitrite interagissent de manière totale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FE278D">
        <w:rPr>
          <w:rFonts w:ascii="Arial" w:hAnsi="Arial" w:cs="Arial"/>
          <w:spacing w:val="6"/>
          <w:sz w:val="24"/>
          <w:szCs w:val="24"/>
        </w:rPr>
        <w:t>pour former une nouvelle entité colorée. Le document 1 présente le spectre d’absorption de</w:t>
      </w:r>
      <w:r w:rsidR="007A0F5A">
        <w:rPr>
          <w:rFonts w:ascii="Arial" w:hAnsi="Arial" w:cs="Arial"/>
          <w:spacing w:val="6"/>
          <w:sz w:val="24"/>
          <w:szCs w:val="24"/>
        </w:rPr>
        <w:t xml:space="preserve"> </w:t>
      </w:r>
      <w:proofErr w:type="gramStart"/>
      <w:r w:rsidRPr="00FE278D">
        <w:rPr>
          <w:rFonts w:ascii="Arial" w:hAnsi="Arial" w:cs="Arial"/>
          <w:spacing w:val="6"/>
          <w:sz w:val="24"/>
          <w:szCs w:val="24"/>
        </w:rPr>
        <w:t>la</w:t>
      </w:r>
      <w:proofErr w:type="gramEnd"/>
      <w:r w:rsidRPr="00FE278D">
        <w:rPr>
          <w:rFonts w:ascii="Arial" w:hAnsi="Arial" w:cs="Arial"/>
          <w:spacing w:val="6"/>
          <w:sz w:val="24"/>
          <w:szCs w:val="24"/>
        </w:rPr>
        <w:t xml:space="preserve"> solution après ajout du réactif de Griess.</w:t>
      </w:r>
    </w:p>
    <w:p w14:paraId="4CBC0DED" w14:textId="77777777" w:rsidR="007A0F5A" w:rsidRPr="002D3429" w:rsidRDefault="007A0F5A" w:rsidP="00FE278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4FBA1FDD" w14:textId="1BAC750F" w:rsidR="007A0F5A" w:rsidRPr="002D3429" w:rsidRDefault="007A0F5A" w:rsidP="007A0F5A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pacing w:val="6"/>
          <w:sz w:val="24"/>
          <w:szCs w:val="24"/>
        </w:rPr>
      </w:pPr>
      <w:r w:rsidRPr="002D3429">
        <w:rPr>
          <w:rFonts w:ascii="Arial" w:hAnsi="Arial" w:cs="Arial"/>
          <w:b/>
          <w:bCs/>
          <w:spacing w:val="6"/>
          <w:sz w:val="24"/>
          <w:szCs w:val="24"/>
        </w:rPr>
        <w:t>Q1-</w:t>
      </w:r>
      <w:r w:rsidRPr="002D3429">
        <w:rPr>
          <w:rFonts w:ascii="Arial" w:hAnsi="Arial" w:cs="Arial"/>
          <w:spacing w:val="6"/>
          <w:sz w:val="24"/>
          <w:szCs w:val="24"/>
        </w:rPr>
        <w:tab/>
        <w:t>Déterminer, en justifiant, la couleur de la solution ainsi obtenue.</w:t>
      </w:r>
    </w:p>
    <w:p w14:paraId="326552BA" w14:textId="77777777" w:rsidR="007A0F5A" w:rsidRPr="002D3429" w:rsidRDefault="007A0F5A" w:rsidP="007A0F5A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7423838E" w14:textId="57208A59" w:rsidR="007A0F5A" w:rsidRPr="002D3429" w:rsidRDefault="007A0F5A" w:rsidP="007A0F5A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pacing w:val="6"/>
          <w:sz w:val="24"/>
          <w:szCs w:val="24"/>
        </w:rPr>
      </w:pPr>
      <w:r w:rsidRPr="002D3429">
        <w:rPr>
          <w:rFonts w:ascii="Arial" w:hAnsi="Arial" w:cs="Arial"/>
          <w:b/>
          <w:bCs/>
          <w:spacing w:val="6"/>
          <w:sz w:val="24"/>
          <w:szCs w:val="24"/>
        </w:rPr>
        <w:t>Q2-</w:t>
      </w:r>
      <w:r w:rsidRPr="002D3429">
        <w:rPr>
          <w:rFonts w:ascii="Arial" w:hAnsi="Arial" w:cs="Arial"/>
          <w:spacing w:val="6"/>
          <w:sz w:val="24"/>
          <w:szCs w:val="24"/>
        </w:rPr>
        <w:tab/>
        <w:t>Préciser, en justifiant, la longueur d’onde à laquelle régler le spectrophotomètre pour réaliser les mesures d’absorbance.</w:t>
      </w:r>
    </w:p>
    <w:p w14:paraId="66C4C1E8" w14:textId="77777777" w:rsidR="00BC5C78" w:rsidRDefault="00BC5C78">
      <w:pPr>
        <w:rPr>
          <w:rFonts w:ascii="Arial" w:hAnsi="Arial" w:cs="Arial"/>
          <w:spacing w:val="6"/>
          <w:sz w:val="24"/>
          <w:szCs w:val="24"/>
        </w:rPr>
      </w:pPr>
    </w:p>
    <w:p w14:paraId="7311B85F" w14:textId="055D48F6" w:rsidR="00BC5C78" w:rsidRDefault="00BC5C78">
      <w:pPr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06EA1" w14:paraId="0A4FCF50" w14:textId="77777777" w:rsidTr="001254D0">
        <w:tc>
          <w:tcPr>
            <w:tcW w:w="10194" w:type="dxa"/>
          </w:tcPr>
          <w:p w14:paraId="05E717CC" w14:textId="18AAE6D1" w:rsidR="00106EA1" w:rsidRPr="003302A7" w:rsidRDefault="00106EA1" w:rsidP="007A0F5A">
            <w:pPr>
              <w:tabs>
                <w:tab w:val="left" w:pos="1733"/>
              </w:tabs>
              <w:ind w:left="1733" w:hanging="1733"/>
              <w:jc w:val="both"/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</w:pPr>
            <w:r w:rsidRPr="003302A7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lastRenderedPageBreak/>
              <w:t>Document 1 –</w:t>
            </w:r>
            <w:r w:rsidR="007A0F5A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ab/>
            </w:r>
            <w:r w:rsidR="007A0F5A" w:rsidRPr="007A0F5A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Spectre d’absorption de la solution avec le réactif de Griess et cercle</w:t>
            </w:r>
            <w:r w:rsidR="007A0F5A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="007A0F5A" w:rsidRPr="007A0F5A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chromatique</w:t>
            </w:r>
          </w:p>
          <w:p w14:paraId="72381918" w14:textId="66214A68" w:rsidR="00106EA1" w:rsidRDefault="007A0F5A" w:rsidP="007A0F5A">
            <w:pPr>
              <w:pStyle w:val="Paragraphedeliste"/>
              <w:ind w:left="0"/>
              <w:jc w:val="center"/>
            </w:pPr>
            <w:r>
              <w:object w:dxaOrig="13670" w:dyaOrig="8010" w14:anchorId="6EA1D6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1.8pt;height:264.6pt" o:ole="" o:bordertopcolor="this" o:borderleftcolor="this" o:borderbottomcolor="this" o:borderrightcolor="this">
                  <v:imagedata r:id="rId6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1025" DrawAspect="Content" ObjectID="_1786173487" r:id="rId7"/>
              </w:object>
            </w:r>
          </w:p>
          <w:p w14:paraId="6F46CDBD" w14:textId="26EB099B" w:rsidR="007A0F5A" w:rsidRPr="00106EA1" w:rsidRDefault="007A0F5A" w:rsidP="007A0F5A">
            <w:pPr>
              <w:pStyle w:val="Paragraphedeliste"/>
              <w:ind w:left="0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9650A9" wp14:editId="75F02B21">
                  <wp:extent cx="2952750" cy="2552450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441" cy="2574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F5A" w14:paraId="3A02880D" w14:textId="77777777" w:rsidTr="001254D0">
        <w:tc>
          <w:tcPr>
            <w:tcW w:w="10194" w:type="dxa"/>
          </w:tcPr>
          <w:p w14:paraId="6D503B5E" w14:textId="77777777" w:rsidR="007A0F5A" w:rsidRPr="003302A7" w:rsidRDefault="007A0F5A" w:rsidP="007A0F5A">
            <w:pPr>
              <w:jc w:val="both"/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</w:pPr>
          </w:p>
        </w:tc>
      </w:tr>
    </w:tbl>
    <w:p w14:paraId="38E6CBF3" w14:textId="77777777" w:rsidR="00106EA1" w:rsidRDefault="00106EA1" w:rsidP="00106EA1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1D1F86A2" w14:textId="67144184" w:rsidR="002D3429" w:rsidRDefault="002D3429" w:rsidP="001D1E5D">
      <w:pPr>
        <w:spacing w:after="120" w:line="24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2D3429">
        <w:rPr>
          <w:rFonts w:ascii="Arial" w:hAnsi="Arial" w:cs="Arial"/>
          <w:spacing w:val="6"/>
          <w:sz w:val="24"/>
          <w:szCs w:val="24"/>
        </w:rPr>
        <w:t>Pour tracer la courbe d’étalonnage, cinq solutions étalons sont préparées à partir d’une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2D3429">
        <w:rPr>
          <w:rFonts w:ascii="Arial" w:hAnsi="Arial" w:cs="Arial"/>
          <w:spacing w:val="6"/>
          <w:sz w:val="24"/>
          <w:szCs w:val="24"/>
        </w:rPr>
        <w:t>solution mère S</w:t>
      </w:r>
      <w:r w:rsidRPr="00D24B79">
        <w:rPr>
          <w:rFonts w:ascii="Arial" w:hAnsi="Arial" w:cs="Arial"/>
          <w:spacing w:val="6"/>
          <w:sz w:val="24"/>
          <w:szCs w:val="24"/>
          <w:vertAlign w:val="subscript"/>
        </w:rPr>
        <w:t>0</w:t>
      </w:r>
      <w:r w:rsidRPr="002D3429">
        <w:rPr>
          <w:rFonts w:ascii="Arial" w:hAnsi="Arial" w:cs="Arial"/>
          <w:spacing w:val="6"/>
          <w:sz w:val="24"/>
          <w:szCs w:val="24"/>
        </w:rPr>
        <w:t xml:space="preserve"> ayant une concentration en ions nitrite</w:t>
      </w:r>
      <w:r>
        <w:rPr>
          <w:rFonts w:ascii="Arial" w:hAnsi="Arial" w:cs="Arial"/>
          <w:spacing w:val="6"/>
          <w:sz w:val="24"/>
          <w:szCs w:val="24"/>
        </w:rPr>
        <w:t xml:space="preserve"> : </w:t>
      </w:r>
      <w:r w:rsidRPr="002D3429">
        <w:rPr>
          <w:rFonts w:ascii="Arial" w:hAnsi="Arial" w:cs="Arial"/>
          <w:i/>
          <w:iCs/>
          <w:spacing w:val="6"/>
          <w:sz w:val="24"/>
          <w:szCs w:val="24"/>
        </w:rPr>
        <w:t>c</w:t>
      </w:r>
      <w:r w:rsidRPr="002D3429">
        <w:rPr>
          <w:rFonts w:ascii="Arial" w:hAnsi="Arial" w:cs="Arial"/>
          <w:spacing w:val="6"/>
          <w:sz w:val="24"/>
          <w:szCs w:val="24"/>
          <w:vertAlign w:val="subscript"/>
        </w:rPr>
        <w:t>0</w:t>
      </w:r>
      <w:r w:rsidRPr="002D3429">
        <w:rPr>
          <w:rFonts w:ascii="Arial" w:hAnsi="Arial" w:cs="Arial"/>
          <w:spacing w:val="6"/>
          <w:sz w:val="24"/>
          <w:szCs w:val="24"/>
        </w:rPr>
        <w:t xml:space="preserve"> = 3,0 × 10</w:t>
      </w:r>
      <w:r w:rsidRPr="002D3429">
        <w:rPr>
          <w:rFonts w:ascii="Arial" w:hAnsi="Arial" w:cs="Arial"/>
          <w:spacing w:val="6"/>
          <w:sz w:val="24"/>
          <w:szCs w:val="24"/>
          <w:vertAlign w:val="superscript"/>
        </w:rPr>
        <w:t>−3</w:t>
      </w:r>
      <w:r w:rsidRPr="002D3429">
        <w:rPr>
          <w:rFonts w:ascii="Arial" w:hAnsi="Arial" w:cs="Arial"/>
          <w:spacing w:val="6"/>
          <w:sz w:val="24"/>
          <w:szCs w:val="24"/>
        </w:rPr>
        <w:t xml:space="preserve"> mol </w:t>
      </w:r>
      <w:r w:rsidRPr="002D3429">
        <w:rPr>
          <w:rFonts w:ascii="Cambria Math" w:hAnsi="Cambria Math" w:cs="Cambria Math"/>
          <w:spacing w:val="6"/>
          <w:sz w:val="24"/>
          <w:szCs w:val="24"/>
        </w:rPr>
        <w:t>⋅</w:t>
      </w:r>
      <w:r w:rsidRPr="002D3429">
        <w:rPr>
          <w:rFonts w:ascii="Arial" w:hAnsi="Arial" w:cs="Arial"/>
          <w:spacing w:val="6"/>
          <w:sz w:val="24"/>
          <w:szCs w:val="24"/>
        </w:rPr>
        <w:t xml:space="preserve"> L</w:t>
      </w:r>
      <w:r w:rsidRPr="002D3429">
        <w:rPr>
          <w:rFonts w:ascii="Arial" w:hAnsi="Arial" w:cs="Arial"/>
          <w:spacing w:val="6"/>
          <w:sz w:val="24"/>
          <w:szCs w:val="24"/>
          <w:vertAlign w:val="superscript"/>
        </w:rPr>
        <w:t>−1</w:t>
      </w:r>
      <w:r w:rsidRPr="002D3429">
        <w:rPr>
          <w:rFonts w:ascii="Arial" w:hAnsi="Arial" w:cs="Arial"/>
          <w:spacing w:val="6"/>
          <w:sz w:val="24"/>
          <w:szCs w:val="24"/>
        </w:rPr>
        <w:t>. Les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2D3429">
        <w:rPr>
          <w:rFonts w:ascii="Arial" w:hAnsi="Arial" w:cs="Arial"/>
          <w:spacing w:val="6"/>
          <w:sz w:val="24"/>
          <w:szCs w:val="24"/>
        </w:rPr>
        <w:t xml:space="preserve">concentrations </w:t>
      </w:r>
      <w:proofErr w:type="spellStart"/>
      <w:r w:rsidR="001D1E5D" w:rsidRPr="001D1E5D">
        <w:rPr>
          <w:rFonts w:ascii="Arial" w:hAnsi="Arial" w:cs="Arial"/>
          <w:i/>
          <w:iCs/>
          <w:spacing w:val="6"/>
          <w:sz w:val="24"/>
          <w:szCs w:val="24"/>
        </w:rPr>
        <w:t>c</w:t>
      </w:r>
      <w:r w:rsidR="001D1E5D" w:rsidRPr="001D1E5D">
        <w:rPr>
          <w:rFonts w:ascii="Arial" w:hAnsi="Arial" w:cs="Arial"/>
          <w:spacing w:val="6"/>
          <w:sz w:val="24"/>
          <w:szCs w:val="24"/>
          <w:vertAlign w:val="subscript"/>
        </w:rPr>
        <w:t>f</w:t>
      </w:r>
      <w:proofErr w:type="spellEnd"/>
      <w:r w:rsidRPr="002D3429">
        <w:rPr>
          <w:rFonts w:ascii="Arial" w:hAnsi="Arial" w:cs="Arial"/>
          <w:spacing w:val="6"/>
          <w:sz w:val="24"/>
          <w:szCs w:val="24"/>
        </w:rPr>
        <w:t xml:space="preserve"> des solutions étalons sont indiquées dans le tableau ci-après.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6"/>
        <w:gridCol w:w="1630"/>
        <w:gridCol w:w="1630"/>
        <w:gridCol w:w="1631"/>
        <w:gridCol w:w="1630"/>
        <w:gridCol w:w="1631"/>
      </w:tblGrid>
      <w:tr w:rsidR="001D1E5D" w14:paraId="34A45EF9" w14:textId="77777777" w:rsidTr="00BC5C78">
        <w:trPr>
          <w:trHeight w:val="397"/>
        </w:trPr>
        <w:tc>
          <w:tcPr>
            <w:tcW w:w="2036" w:type="dxa"/>
            <w:vAlign w:val="center"/>
          </w:tcPr>
          <w:p w14:paraId="0B48B1E1" w14:textId="1816E7F0" w:rsidR="001D1E5D" w:rsidRDefault="001D1E5D" w:rsidP="001D1E5D">
            <w:pPr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2D3429">
              <w:rPr>
                <w:rFonts w:ascii="Arial" w:hAnsi="Arial" w:cs="Arial"/>
                <w:spacing w:val="6"/>
                <w:sz w:val="24"/>
                <w:szCs w:val="24"/>
              </w:rPr>
              <w:t>Solution</w:t>
            </w:r>
          </w:p>
        </w:tc>
        <w:tc>
          <w:tcPr>
            <w:tcW w:w="1630" w:type="dxa"/>
            <w:vAlign w:val="center"/>
          </w:tcPr>
          <w:p w14:paraId="7EDCB510" w14:textId="60D505EF" w:rsidR="001D1E5D" w:rsidRDefault="001D1E5D" w:rsidP="001D1E5D">
            <w:pPr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2D3429">
              <w:rPr>
                <w:rFonts w:ascii="Arial" w:hAnsi="Arial" w:cs="Arial"/>
                <w:spacing w:val="6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6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630" w:type="dxa"/>
            <w:vAlign w:val="center"/>
          </w:tcPr>
          <w:p w14:paraId="741B2D15" w14:textId="15C92047" w:rsidR="001D1E5D" w:rsidRDefault="001D1E5D" w:rsidP="001D1E5D">
            <w:pPr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2D3429">
              <w:rPr>
                <w:rFonts w:ascii="Arial" w:hAnsi="Arial" w:cs="Arial"/>
                <w:spacing w:val="6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6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31" w:type="dxa"/>
            <w:vAlign w:val="center"/>
          </w:tcPr>
          <w:p w14:paraId="519D6BA6" w14:textId="1A81F4F3" w:rsidR="001D1E5D" w:rsidRDefault="001D1E5D" w:rsidP="001D1E5D">
            <w:pPr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2D3429">
              <w:rPr>
                <w:rFonts w:ascii="Arial" w:hAnsi="Arial" w:cs="Arial"/>
                <w:spacing w:val="6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6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630" w:type="dxa"/>
            <w:vAlign w:val="center"/>
          </w:tcPr>
          <w:p w14:paraId="03B73C05" w14:textId="470C0CF6" w:rsidR="001D1E5D" w:rsidRDefault="001D1E5D" w:rsidP="001D1E5D">
            <w:pPr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2D3429">
              <w:rPr>
                <w:rFonts w:ascii="Arial" w:hAnsi="Arial" w:cs="Arial"/>
                <w:spacing w:val="6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6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631" w:type="dxa"/>
            <w:vAlign w:val="center"/>
          </w:tcPr>
          <w:p w14:paraId="1F37A43C" w14:textId="2DB9B6C7" w:rsidR="001D1E5D" w:rsidRDefault="001D1E5D" w:rsidP="001D1E5D">
            <w:pPr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2D3429">
              <w:rPr>
                <w:rFonts w:ascii="Arial" w:hAnsi="Arial" w:cs="Arial"/>
                <w:spacing w:val="6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6"/>
                <w:sz w:val="24"/>
                <w:szCs w:val="24"/>
                <w:vertAlign w:val="subscript"/>
              </w:rPr>
              <w:t>5</w:t>
            </w:r>
          </w:p>
        </w:tc>
      </w:tr>
      <w:tr w:rsidR="001D1E5D" w14:paraId="7657E0E0" w14:textId="77777777" w:rsidTr="00BC5C78">
        <w:trPr>
          <w:trHeight w:val="397"/>
        </w:trPr>
        <w:tc>
          <w:tcPr>
            <w:tcW w:w="2036" w:type="dxa"/>
            <w:vAlign w:val="center"/>
          </w:tcPr>
          <w:p w14:paraId="20DC53BF" w14:textId="33A9B8E4" w:rsidR="001D1E5D" w:rsidRDefault="001D1E5D" w:rsidP="001D1E5D">
            <w:pPr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proofErr w:type="spellStart"/>
            <w:proofErr w:type="gramStart"/>
            <w:r w:rsidRPr="001D1E5D">
              <w:rPr>
                <w:rFonts w:ascii="Arial" w:hAnsi="Arial" w:cs="Arial"/>
                <w:i/>
                <w:iCs/>
                <w:spacing w:val="6"/>
                <w:sz w:val="24"/>
                <w:szCs w:val="24"/>
              </w:rPr>
              <w:t>c</w:t>
            </w:r>
            <w:r w:rsidRPr="001D1E5D">
              <w:rPr>
                <w:rFonts w:ascii="Arial" w:hAnsi="Arial" w:cs="Arial"/>
                <w:spacing w:val="6"/>
                <w:sz w:val="24"/>
                <w:szCs w:val="24"/>
                <w:vertAlign w:val="subscript"/>
              </w:rPr>
              <w:t>f</w:t>
            </w:r>
            <w:proofErr w:type="spellEnd"/>
            <w:proofErr w:type="gramEnd"/>
            <w:r w:rsidRPr="002D3429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(mol </w:t>
            </w:r>
            <w:r w:rsidRPr="002D3429">
              <w:rPr>
                <w:rFonts w:ascii="Cambria Math" w:hAnsi="Cambria Math" w:cs="Cambria Math"/>
                <w:spacing w:val="6"/>
                <w:sz w:val="24"/>
                <w:szCs w:val="24"/>
              </w:rPr>
              <w:t>⋅</w:t>
            </w:r>
            <w:r w:rsidRPr="002D3429">
              <w:rPr>
                <w:rFonts w:ascii="Arial" w:hAnsi="Arial" w:cs="Arial"/>
                <w:spacing w:val="6"/>
                <w:sz w:val="24"/>
                <w:szCs w:val="24"/>
              </w:rPr>
              <w:t xml:space="preserve"> L</w:t>
            </w:r>
            <w:r w:rsidRPr="002D3429">
              <w:rPr>
                <w:rFonts w:ascii="Arial" w:hAnsi="Arial" w:cs="Arial"/>
                <w:spacing w:val="6"/>
                <w:sz w:val="24"/>
                <w:szCs w:val="24"/>
                <w:vertAlign w:val="superscript"/>
              </w:rPr>
              <w:t>−1</w:t>
            </w:r>
            <w:r w:rsidRPr="002D3429">
              <w:rPr>
                <w:rFonts w:ascii="Arial" w:hAnsi="Arial" w:cs="Arial"/>
                <w:spacing w:val="6"/>
                <w:sz w:val="24"/>
                <w:szCs w:val="24"/>
              </w:rPr>
              <w:t>)</w:t>
            </w:r>
          </w:p>
        </w:tc>
        <w:tc>
          <w:tcPr>
            <w:tcW w:w="1630" w:type="dxa"/>
            <w:vAlign w:val="center"/>
          </w:tcPr>
          <w:p w14:paraId="3F857F55" w14:textId="5182DFC2" w:rsidR="001D1E5D" w:rsidRDefault="001D1E5D" w:rsidP="001D1E5D">
            <w:pPr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2D3429">
              <w:rPr>
                <w:rFonts w:ascii="Arial" w:hAnsi="Arial" w:cs="Arial"/>
                <w:spacing w:val="6"/>
                <w:sz w:val="24"/>
                <w:szCs w:val="24"/>
              </w:rPr>
              <w:t>60 × 10</w:t>
            </w:r>
            <w:r w:rsidRPr="001D1E5D">
              <w:rPr>
                <w:rFonts w:ascii="Arial" w:hAnsi="Arial" w:cs="Arial"/>
                <w:spacing w:val="6"/>
                <w:sz w:val="24"/>
                <w:szCs w:val="24"/>
                <w:vertAlign w:val="superscript"/>
              </w:rPr>
              <w:t>−6</w:t>
            </w:r>
          </w:p>
        </w:tc>
        <w:tc>
          <w:tcPr>
            <w:tcW w:w="1630" w:type="dxa"/>
            <w:vAlign w:val="center"/>
          </w:tcPr>
          <w:p w14:paraId="7F72BB83" w14:textId="3239A54B" w:rsidR="001D1E5D" w:rsidRDefault="001D1E5D" w:rsidP="001D1E5D">
            <w:pPr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2D3429">
              <w:rPr>
                <w:rFonts w:ascii="Arial" w:hAnsi="Arial" w:cs="Arial"/>
                <w:spacing w:val="6"/>
                <w:sz w:val="24"/>
                <w:szCs w:val="24"/>
              </w:rPr>
              <w:t>100 × 10</w:t>
            </w:r>
            <w:r w:rsidRPr="001D1E5D">
              <w:rPr>
                <w:rFonts w:ascii="Arial" w:hAnsi="Arial" w:cs="Arial"/>
                <w:spacing w:val="6"/>
                <w:sz w:val="24"/>
                <w:szCs w:val="24"/>
                <w:vertAlign w:val="superscript"/>
              </w:rPr>
              <w:t>−6</w:t>
            </w:r>
          </w:p>
        </w:tc>
        <w:tc>
          <w:tcPr>
            <w:tcW w:w="1631" w:type="dxa"/>
            <w:vAlign w:val="center"/>
          </w:tcPr>
          <w:p w14:paraId="6F909669" w14:textId="5E0053A1" w:rsidR="001D1E5D" w:rsidRDefault="001D1E5D" w:rsidP="001D1E5D">
            <w:pPr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2D3429">
              <w:rPr>
                <w:rFonts w:ascii="Arial" w:hAnsi="Arial" w:cs="Arial"/>
                <w:spacing w:val="6"/>
                <w:sz w:val="24"/>
                <w:szCs w:val="24"/>
              </w:rPr>
              <w:t>150 × 10</w:t>
            </w:r>
            <w:r w:rsidRPr="001D1E5D">
              <w:rPr>
                <w:rFonts w:ascii="Arial" w:hAnsi="Arial" w:cs="Arial"/>
                <w:spacing w:val="6"/>
                <w:sz w:val="24"/>
                <w:szCs w:val="24"/>
                <w:vertAlign w:val="superscript"/>
              </w:rPr>
              <w:t>−6</w:t>
            </w:r>
          </w:p>
        </w:tc>
        <w:tc>
          <w:tcPr>
            <w:tcW w:w="1630" w:type="dxa"/>
            <w:vAlign w:val="center"/>
          </w:tcPr>
          <w:p w14:paraId="7879AFFC" w14:textId="6B48B733" w:rsidR="001D1E5D" w:rsidRDefault="001D1E5D" w:rsidP="001D1E5D">
            <w:pPr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2D3429">
              <w:rPr>
                <w:rFonts w:ascii="Arial" w:hAnsi="Arial" w:cs="Arial"/>
                <w:spacing w:val="6"/>
                <w:sz w:val="24"/>
                <w:szCs w:val="24"/>
              </w:rPr>
              <w:t>250 × 10</w:t>
            </w:r>
            <w:r w:rsidRPr="001D1E5D">
              <w:rPr>
                <w:rFonts w:ascii="Arial" w:hAnsi="Arial" w:cs="Arial"/>
                <w:spacing w:val="6"/>
                <w:sz w:val="24"/>
                <w:szCs w:val="24"/>
                <w:vertAlign w:val="superscript"/>
              </w:rPr>
              <w:t>−6</w:t>
            </w:r>
          </w:p>
        </w:tc>
        <w:tc>
          <w:tcPr>
            <w:tcW w:w="1631" w:type="dxa"/>
            <w:vAlign w:val="center"/>
          </w:tcPr>
          <w:p w14:paraId="18E723DF" w14:textId="462D4F5E" w:rsidR="001D1E5D" w:rsidRDefault="001D1E5D" w:rsidP="001D1E5D">
            <w:pPr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2D3429">
              <w:rPr>
                <w:rFonts w:ascii="Arial" w:hAnsi="Arial" w:cs="Arial"/>
                <w:spacing w:val="6"/>
                <w:sz w:val="24"/>
                <w:szCs w:val="24"/>
              </w:rPr>
              <w:t>300 × 10</w:t>
            </w:r>
            <w:r w:rsidRPr="001D1E5D">
              <w:rPr>
                <w:rFonts w:ascii="Arial" w:hAnsi="Arial" w:cs="Arial"/>
                <w:spacing w:val="6"/>
                <w:sz w:val="24"/>
                <w:szCs w:val="24"/>
                <w:vertAlign w:val="superscript"/>
              </w:rPr>
              <w:t>−6</w:t>
            </w:r>
          </w:p>
        </w:tc>
      </w:tr>
    </w:tbl>
    <w:p w14:paraId="754A7AC2" w14:textId="197A34A6" w:rsidR="002D3429" w:rsidRPr="002D3429" w:rsidRDefault="002D3429" w:rsidP="001D1E5D">
      <w:pPr>
        <w:spacing w:before="120" w:after="120" w:line="24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2D3429">
        <w:rPr>
          <w:rFonts w:ascii="Arial" w:hAnsi="Arial" w:cs="Arial"/>
          <w:spacing w:val="6"/>
          <w:sz w:val="24"/>
          <w:szCs w:val="24"/>
        </w:rPr>
        <w:t>Le préparateur dispose de la verrerie suivante</w:t>
      </w:r>
      <w:r w:rsidR="001D1E5D">
        <w:rPr>
          <w:rFonts w:ascii="Arial" w:hAnsi="Arial" w:cs="Arial"/>
          <w:spacing w:val="6"/>
          <w:sz w:val="24"/>
          <w:szCs w:val="24"/>
        </w:rPr>
        <w:t> :</w:t>
      </w:r>
    </w:p>
    <w:p w14:paraId="45544D00" w14:textId="0AECD16E" w:rsidR="002D3429" w:rsidRPr="001D1E5D" w:rsidRDefault="002D3429" w:rsidP="001D1E5D">
      <w:pPr>
        <w:pStyle w:val="Paragraphedeliste"/>
        <w:numPr>
          <w:ilvl w:val="0"/>
          <w:numId w:val="4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6"/>
          <w:sz w:val="24"/>
          <w:szCs w:val="24"/>
        </w:rPr>
      </w:pPr>
      <w:r w:rsidRPr="001D1E5D">
        <w:rPr>
          <w:rFonts w:ascii="Arial" w:hAnsi="Arial" w:cs="Arial"/>
          <w:spacing w:val="6"/>
          <w:sz w:val="24"/>
          <w:szCs w:val="24"/>
        </w:rPr>
        <w:t>Béchers</w:t>
      </w:r>
      <w:r w:rsidR="001D1E5D" w:rsidRPr="001D1E5D">
        <w:rPr>
          <w:rFonts w:ascii="Arial" w:hAnsi="Arial" w:cs="Arial"/>
          <w:spacing w:val="6"/>
          <w:sz w:val="24"/>
          <w:szCs w:val="24"/>
        </w:rPr>
        <w:t> :</w:t>
      </w:r>
      <w:r w:rsidRPr="001D1E5D">
        <w:rPr>
          <w:rFonts w:ascii="Arial" w:hAnsi="Arial" w:cs="Arial"/>
          <w:spacing w:val="6"/>
          <w:sz w:val="24"/>
          <w:szCs w:val="24"/>
        </w:rPr>
        <w:t xml:space="preserve"> 50 mL ; 100 mL ; 250 mL.</w:t>
      </w:r>
    </w:p>
    <w:p w14:paraId="4E1AE1D3" w14:textId="71D86899" w:rsidR="002D3429" w:rsidRPr="001D1E5D" w:rsidRDefault="002D3429" w:rsidP="001D1E5D">
      <w:pPr>
        <w:pStyle w:val="Paragraphedeliste"/>
        <w:numPr>
          <w:ilvl w:val="0"/>
          <w:numId w:val="4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6"/>
          <w:sz w:val="24"/>
          <w:szCs w:val="24"/>
        </w:rPr>
      </w:pPr>
      <w:r w:rsidRPr="001D1E5D">
        <w:rPr>
          <w:rFonts w:ascii="Arial" w:hAnsi="Arial" w:cs="Arial"/>
          <w:spacing w:val="6"/>
          <w:sz w:val="24"/>
          <w:szCs w:val="24"/>
        </w:rPr>
        <w:t>Éprouvettes graduées</w:t>
      </w:r>
      <w:r w:rsidR="001D1E5D" w:rsidRPr="001D1E5D">
        <w:rPr>
          <w:rFonts w:ascii="Arial" w:hAnsi="Arial" w:cs="Arial"/>
          <w:spacing w:val="6"/>
          <w:sz w:val="24"/>
          <w:szCs w:val="24"/>
        </w:rPr>
        <w:t> :</w:t>
      </w:r>
      <w:r w:rsidRPr="001D1E5D">
        <w:rPr>
          <w:rFonts w:ascii="Arial" w:hAnsi="Arial" w:cs="Arial"/>
          <w:spacing w:val="6"/>
          <w:sz w:val="24"/>
          <w:szCs w:val="24"/>
        </w:rPr>
        <w:t xml:space="preserve"> 50 mL ; 100 mL ; 250 mL.</w:t>
      </w:r>
    </w:p>
    <w:p w14:paraId="785639E9" w14:textId="721E3D06" w:rsidR="002D3429" w:rsidRPr="001D1E5D" w:rsidRDefault="002D3429" w:rsidP="001D1E5D">
      <w:pPr>
        <w:pStyle w:val="Paragraphedeliste"/>
        <w:numPr>
          <w:ilvl w:val="0"/>
          <w:numId w:val="4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6"/>
          <w:sz w:val="24"/>
          <w:szCs w:val="24"/>
        </w:rPr>
      </w:pPr>
      <w:r w:rsidRPr="001D1E5D">
        <w:rPr>
          <w:rFonts w:ascii="Arial" w:hAnsi="Arial" w:cs="Arial"/>
          <w:spacing w:val="6"/>
          <w:sz w:val="24"/>
          <w:szCs w:val="24"/>
        </w:rPr>
        <w:t>Fioles jaugées</w:t>
      </w:r>
      <w:r w:rsidR="001D1E5D" w:rsidRPr="001D1E5D">
        <w:rPr>
          <w:rFonts w:ascii="Arial" w:hAnsi="Arial" w:cs="Arial"/>
          <w:spacing w:val="6"/>
          <w:sz w:val="24"/>
          <w:szCs w:val="24"/>
        </w:rPr>
        <w:t> :</w:t>
      </w:r>
      <w:r w:rsidRPr="001D1E5D">
        <w:rPr>
          <w:rFonts w:ascii="Arial" w:hAnsi="Arial" w:cs="Arial"/>
          <w:spacing w:val="6"/>
          <w:sz w:val="24"/>
          <w:szCs w:val="24"/>
        </w:rPr>
        <w:t xml:space="preserve"> 50 mL ; 100 mL ; 250 mL.</w:t>
      </w:r>
    </w:p>
    <w:p w14:paraId="1EF88CD1" w14:textId="65655778" w:rsidR="002D3429" w:rsidRPr="001D1E5D" w:rsidRDefault="002D3429" w:rsidP="001D1E5D">
      <w:pPr>
        <w:pStyle w:val="Paragraphedeliste"/>
        <w:numPr>
          <w:ilvl w:val="0"/>
          <w:numId w:val="4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6"/>
          <w:sz w:val="24"/>
          <w:szCs w:val="24"/>
        </w:rPr>
      </w:pPr>
      <w:r w:rsidRPr="001D1E5D">
        <w:rPr>
          <w:rFonts w:ascii="Arial" w:hAnsi="Arial" w:cs="Arial"/>
          <w:spacing w:val="6"/>
          <w:sz w:val="24"/>
          <w:szCs w:val="24"/>
        </w:rPr>
        <w:t>Pipettes jaugées</w:t>
      </w:r>
      <w:r w:rsidR="001D1E5D" w:rsidRPr="001D1E5D">
        <w:rPr>
          <w:rFonts w:ascii="Arial" w:hAnsi="Arial" w:cs="Arial"/>
          <w:spacing w:val="6"/>
          <w:sz w:val="24"/>
          <w:szCs w:val="24"/>
        </w:rPr>
        <w:t> :</w:t>
      </w:r>
      <w:r w:rsidRPr="001D1E5D">
        <w:rPr>
          <w:rFonts w:ascii="Arial" w:hAnsi="Arial" w:cs="Arial"/>
          <w:spacing w:val="6"/>
          <w:sz w:val="24"/>
          <w:szCs w:val="24"/>
        </w:rPr>
        <w:t xml:space="preserve"> 5,0 mL ; 10,0 mL ; 20,0 mL.</w:t>
      </w:r>
    </w:p>
    <w:p w14:paraId="4CDECABB" w14:textId="77777777" w:rsidR="001D1E5D" w:rsidRPr="001F24C0" w:rsidRDefault="001D1E5D" w:rsidP="001D1E5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1A143676" w14:textId="418B0706" w:rsidR="001D1E5D" w:rsidRPr="001F24C0" w:rsidRDefault="001D1E5D" w:rsidP="001D1E5D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pacing w:val="6"/>
          <w:sz w:val="24"/>
          <w:szCs w:val="24"/>
        </w:rPr>
      </w:pPr>
      <w:r w:rsidRPr="001F24C0">
        <w:rPr>
          <w:rFonts w:ascii="Arial" w:hAnsi="Arial" w:cs="Arial"/>
          <w:b/>
          <w:bCs/>
          <w:spacing w:val="6"/>
          <w:sz w:val="24"/>
          <w:szCs w:val="24"/>
        </w:rPr>
        <w:t>Q3-</w:t>
      </w:r>
      <w:r w:rsidRPr="001F24C0">
        <w:rPr>
          <w:rFonts w:ascii="Arial" w:hAnsi="Arial" w:cs="Arial"/>
          <w:spacing w:val="6"/>
          <w:sz w:val="24"/>
          <w:szCs w:val="24"/>
        </w:rPr>
        <w:tab/>
      </w:r>
      <w:r w:rsidRPr="002D3429">
        <w:rPr>
          <w:rFonts w:ascii="Arial" w:hAnsi="Arial" w:cs="Arial"/>
          <w:spacing w:val="6"/>
          <w:sz w:val="24"/>
          <w:szCs w:val="24"/>
        </w:rPr>
        <w:t>Présenter la démarche expérimentale à mettre en œuvre pour préparer la solution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2D3429">
        <w:rPr>
          <w:rFonts w:ascii="Arial" w:hAnsi="Arial" w:cs="Arial"/>
          <w:spacing w:val="6"/>
          <w:sz w:val="24"/>
          <w:szCs w:val="24"/>
        </w:rPr>
        <w:t>étalon S</w:t>
      </w:r>
      <w:r>
        <w:rPr>
          <w:rFonts w:ascii="Arial" w:hAnsi="Arial" w:cs="Arial"/>
          <w:spacing w:val="6"/>
          <w:sz w:val="24"/>
          <w:szCs w:val="24"/>
          <w:vertAlign w:val="subscript"/>
        </w:rPr>
        <w:t>1</w:t>
      </w:r>
      <w:r w:rsidRPr="002D3429">
        <w:rPr>
          <w:rFonts w:ascii="Arial" w:hAnsi="Arial" w:cs="Arial"/>
          <w:spacing w:val="6"/>
          <w:sz w:val="24"/>
          <w:szCs w:val="24"/>
        </w:rPr>
        <w:t xml:space="preserve"> en indiquant la verrerie à utiliser (dans la liste ci-dessus).</w:t>
      </w:r>
    </w:p>
    <w:p w14:paraId="147A0E22" w14:textId="493937C7" w:rsidR="0003487F" w:rsidRDefault="0003487F">
      <w:pPr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br w:type="page"/>
      </w:r>
    </w:p>
    <w:p w14:paraId="23345AA8" w14:textId="77777777" w:rsidR="001D1E5D" w:rsidRPr="002D3429" w:rsidRDefault="001D1E5D" w:rsidP="001D1E5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2D3429">
        <w:rPr>
          <w:rFonts w:ascii="Arial" w:hAnsi="Arial" w:cs="Arial"/>
          <w:spacing w:val="6"/>
          <w:sz w:val="24"/>
          <w:szCs w:val="24"/>
        </w:rPr>
        <w:t>On ajoute le réactif de Griess à chaque solution pour obtenir la coloration. On homogénéise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2D3429">
        <w:rPr>
          <w:rFonts w:ascii="Arial" w:hAnsi="Arial" w:cs="Arial"/>
          <w:spacing w:val="6"/>
          <w:sz w:val="24"/>
          <w:szCs w:val="24"/>
        </w:rPr>
        <w:t xml:space="preserve">pendant dix minutes puis on mesure l’absorbance </w:t>
      </w:r>
      <w:r w:rsidRPr="001D1E5D">
        <w:rPr>
          <w:rFonts w:ascii="Arial" w:hAnsi="Arial" w:cs="Arial"/>
          <w:i/>
          <w:iCs/>
          <w:spacing w:val="6"/>
          <w:sz w:val="24"/>
          <w:szCs w:val="24"/>
        </w:rPr>
        <w:t>A</w:t>
      </w:r>
      <w:r w:rsidRPr="002D3429">
        <w:rPr>
          <w:rFonts w:ascii="Arial" w:hAnsi="Arial" w:cs="Arial"/>
          <w:spacing w:val="6"/>
          <w:sz w:val="24"/>
          <w:szCs w:val="24"/>
        </w:rPr>
        <w:t xml:space="preserve"> des solutions à la longueur d’onde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2D3429">
        <w:rPr>
          <w:rFonts w:ascii="Arial" w:hAnsi="Arial" w:cs="Arial"/>
          <w:spacing w:val="6"/>
          <w:sz w:val="24"/>
          <w:szCs w:val="24"/>
        </w:rPr>
        <w:t xml:space="preserve">déterminée à la question </w:t>
      </w:r>
      <w:r w:rsidRPr="001D1E5D">
        <w:rPr>
          <w:rFonts w:ascii="Arial" w:hAnsi="Arial" w:cs="Arial"/>
          <w:b/>
          <w:bCs/>
          <w:spacing w:val="6"/>
          <w:sz w:val="24"/>
          <w:szCs w:val="24"/>
        </w:rPr>
        <w:t>Q2</w:t>
      </w:r>
      <w:r w:rsidRPr="002D3429">
        <w:rPr>
          <w:rFonts w:ascii="Arial" w:hAnsi="Arial" w:cs="Arial"/>
          <w:spacing w:val="6"/>
          <w:sz w:val="24"/>
          <w:szCs w:val="24"/>
        </w:rPr>
        <w:t>. Les points de mesure sont rassemblés dans le document 2.</w:t>
      </w:r>
    </w:p>
    <w:p w14:paraId="297CE9D9" w14:textId="77777777" w:rsidR="001D1E5D" w:rsidRPr="001F24C0" w:rsidRDefault="001D1E5D" w:rsidP="001D1E5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3823E5DA" w14:textId="3A222747" w:rsidR="001D1E5D" w:rsidRPr="001F24C0" w:rsidRDefault="001D1E5D" w:rsidP="001D1E5D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pacing w:val="6"/>
          <w:sz w:val="24"/>
          <w:szCs w:val="24"/>
        </w:rPr>
      </w:pPr>
      <w:r w:rsidRPr="001F24C0">
        <w:rPr>
          <w:rFonts w:ascii="Arial" w:hAnsi="Arial" w:cs="Arial"/>
          <w:b/>
          <w:bCs/>
          <w:spacing w:val="6"/>
          <w:sz w:val="24"/>
          <w:szCs w:val="24"/>
        </w:rPr>
        <w:t>Q4-</w:t>
      </w:r>
      <w:r w:rsidRPr="001F24C0">
        <w:rPr>
          <w:rFonts w:ascii="Arial" w:hAnsi="Arial" w:cs="Arial"/>
          <w:spacing w:val="6"/>
          <w:sz w:val="24"/>
          <w:szCs w:val="24"/>
        </w:rPr>
        <w:tab/>
      </w:r>
      <w:r w:rsidRPr="002D3429">
        <w:rPr>
          <w:rFonts w:ascii="Arial" w:hAnsi="Arial" w:cs="Arial"/>
          <w:spacing w:val="6"/>
          <w:sz w:val="24"/>
          <w:szCs w:val="24"/>
        </w:rPr>
        <w:t>Justifier que les points obtenus sont compatibles avec la loi de Beer-Lambert.</w:t>
      </w:r>
    </w:p>
    <w:p w14:paraId="6AB89DA0" w14:textId="77777777" w:rsidR="001D1E5D" w:rsidRDefault="001D1E5D" w:rsidP="001D1E5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D1E5D" w14:paraId="0FE33C72" w14:textId="77777777" w:rsidTr="00CE462A">
        <w:tc>
          <w:tcPr>
            <w:tcW w:w="10194" w:type="dxa"/>
          </w:tcPr>
          <w:p w14:paraId="47840367" w14:textId="77777777" w:rsidR="001D1E5D" w:rsidRPr="003302A7" w:rsidRDefault="001D1E5D" w:rsidP="00CE462A">
            <w:pPr>
              <w:tabs>
                <w:tab w:val="left" w:pos="1733"/>
              </w:tabs>
              <w:ind w:left="1733" w:hanging="1733"/>
              <w:jc w:val="both"/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</w:pPr>
            <w:r w:rsidRPr="003302A7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 xml:space="preserve">Document </w:t>
            </w:r>
            <w:r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2</w:t>
            </w:r>
            <w:r w:rsidRPr="003302A7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ab/>
            </w:r>
            <w:r w:rsidRPr="002D3429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Absorbance des solutions étalons en fonction de leur concentration</w:t>
            </w:r>
          </w:p>
          <w:p w14:paraId="00E297B9" w14:textId="10CDD046" w:rsidR="001D1E5D" w:rsidRPr="00106EA1" w:rsidRDefault="001D1E5D" w:rsidP="00416279">
            <w:pPr>
              <w:pStyle w:val="Paragraphedeliste"/>
              <w:ind w:left="0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pacing w:val="6"/>
                <w:sz w:val="24"/>
                <w:szCs w:val="24"/>
              </w:rPr>
              <w:drawing>
                <wp:inline distT="0" distB="0" distL="0" distR="0" wp14:anchorId="1B92A9A6" wp14:editId="54152564">
                  <wp:extent cx="5994400" cy="3132368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824" cy="315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ACCA70" w14:textId="77777777" w:rsidR="001D1E5D" w:rsidRDefault="001D1E5D" w:rsidP="001D1E5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606556A6" w14:textId="77777777" w:rsidR="001D1E5D" w:rsidRPr="001D1E5D" w:rsidRDefault="001D1E5D" w:rsidP="001D1E5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1D1E5D">
        <w:rPr>
          <w:rFonts w:ascii="Arial" w:hAnsi="Arial" w:cs="Arial"/>
          <w:spacing w:val="6"/>
          <w:sz w:val="24"/>
          <w:szCs w:val="24"/>
        </w:rPr>
        <w:t>Le procédé d’extraction des ions nitrite de la tranche de viande en salaison a permis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1D1E5D">
        <w:rPr>
          <w:rFonts w:ascii="Arial" w:hAnsi="Arial" w:cs="Arial"/>
          <w:spacing w:val="6"/>
          <w:sz w:val="24"/>
          <w:szCs w:val="24"/>
        </w:rPr>
        <w:t xml:space="preserve">d’obtenir un volume </w:t>
      </w:r>
      <w:proofErr w:type="spellStart"/>
      <w:r>
        <w:rPr>
          <w:rFonts w:ascii="Arial" w:hAnsi="Arial" w:cs="Arial"/>
          <w:i/>
          <w:iCs/>
          <w:spacing w:val="6"/>
          <w:sz w:val="24"/>
          <w:szCs w:val="24"/>
        </w:rPr>
        <w:t>V</w:t>
      </w:r>
      <w:r>
        <w:rPr>
          <w:rFonts w:ascii="Arial" w:hAnsi="Arial" w:cs="Arial"/>
          <w:spacing w:val="6"/>
          <w:sz w:val="24"/>
          <w:szCs w:val="24"/>
          <w:vertAlign w:val="subscript"/>
        </w:rPr>
        <w:t>j</w:t>
      </w:r>
      <w:proofErr w:type="spellEnd"/>
      <w:r w:rsidRPr="001D1E5D">
        <w:rPr>
          <w:rFonts w:ascii="Arial" w:hAnsi="Arial" w:cs="Arial"/>
          <w:spacing w:val="6"/>
          <w:sz w:val="24"/>
          <w:szCs w:val="24"/>
        </w:rPr>
        <w:t xml:space="preserve"> = 50 mL d’une solution aqueuse </w:t>
      </w:r>
      <w:proofErr w:type="spellStart"/>
      <w:r w:rsidRPr="002D3429">
        <w:rPr>
          <w:rFonts w:ascii="Arial" w:hAnsi="Arial" w:cs="Arial"/>
          <w:spacing w:val="6"/>
          <w:sz w:val="24"/>
          <w:szCs w:val="24"/>
        </w:rPr>
        <w:t>S</w:t>
      </w:r>
      <w:r>
        <w:rPr>
          <w:rFonts w:ascii="Arial" w:hAnsi="Arial" w:cs="Arial"/>
          <w:spacing w:val="6"/>
          <w:sz w:val="24"/>
          <w:szCs w:val="24"/>
          <w:vertAlign w:val="subscript"/>
        </w:rPr>
        <w:t>j</w:t>
      </w:r>
      <w:proofErr w:type="spellEnd"/>
      <w:r w:rsidRPr="001D1E5D">
        <w:rPr>
          <w:rFonts w:ascii="Arial" w:hAnsi="Arial" w:cs="Arial"/>
          <w:spacing w:val="6"/>
          <w:sz w:val="24"/>
          <w:szCs w:val="24"/>
        </w:rPr>
        <w:t>. On y ajoute le réactif de Griess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1D1E5D">
        <w:rPr>
          <w:rFonts w:ascii="Arial" w:hAnsi="Arial" w:cs="Arial"/>
          <w:spacing w:val="6"/>
          <w:sz w:val="24"/>
          <w:szCs w:val="24"/>
        </w:rPr>
        <w:t>et on procède à la mesure de l’absorbance dans les mêmes conditions que précédemment.</w:t>
      </w:r>
    </w:p>
    <w:p w14:paraId="2AB9FD64" w14:textId="77777777" w:rsidR="001D1E5D" w:rsidRDefault="001D1E5D" w:rsidP="00416279">
      <w:pPr>
        <w:spacing w:before="120"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1D1E5D">
        <w:rPr>
          <w:rFonts w:ascii="Arial" w:hAnsi="Arial" w:cs="Arial"/>
          <w:spacing w:val="6"/>
          <w:sz w:val="24"/>
          <w:szCs w:val="24"/>
        </w:rPr>
        <w:t>On mesure l’absorbance</w:t>
      </w:r>
      <w:r>
        <w:rPr>
          <w:rFonts w:ascii="Arial" w:hAnsi="Arial" w:cs="Arial"/>
          <w:spacing w:val="6"/>
          <w:sz w:val="24"/>
          <w:szCs w:val="24"/>
        </w:rPr>
        <w:t xml:space="preserve"> : </w:t>
      </w:r>
      <w:proofErr w:type="spellStart"/>
      <w:r w:rsidRPr="00B60B4F">
        <w:rPr>
          <w:rFonts w:ascii="Arial" w:hAnsi="Arial" w:cs="Arial"/>
          <w:i/>
          <w:iCs/>
          <w:spacing w:val="6"/>
          <w:sz w:val="24"/>
          <w:szCs w:val="24"/>
        </w:rPr>
        <w:t>A</w:t>
      </w:r>
      <w:r>
        <w:rPr>
          <w:rFonts w:ascii="Arial" w:hAnsi="Arial" w:cs="Arial"/>
          <w:spacing w:val="6"/>
          <w:sz w:val="24"/>
          <w:szCs w:val="24"/>
          <w:vertAlign w:val="subscript"/>
        </w:rPr>
        <w:t>j</w:t>
      </w:r>
      <w:proofErr w:type="spellEnd"/>
      <w:r w:rsidRPr="001D1E5D">
        <w:rPr>
          <w:rFonts w:ascii="Arial" w:hAnsi="Arial" w:cs="Arial"/>
          <w:spacing w:val="6"/>
          <w:sz w:val="24"/>
          <w:szCs w:val="24"/>
        </w:rPr>
        <w:t xml:space="preserve"> = 0,31.</w:t>
      </w:r>
    </w:p>
    <w:p w14:paraId="7D138A65" w14:textId="77777777" w:rsidR="001D1E5D" w:rsidRPr="001F24C0" w:rsidRDefault="001D1E5D" w:rsidP="001D1E5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07DEFD43" w14:textId="5DD34B32" w:rsidR="001D1E5D" w:rsidRPr="001F24C0" w:rsidRDefault="001D1E5D" w:rsidP="001D1E5D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pacing w:val="6"/>
          <w:sz w:val="24"/>
          <w:szCs w:val="24"/>
        </w:rPr>
      </w:pPr>
      <w:r w:rsidRPr="001F24C0">
        <w:rPr>
          <w:rFonts w:ascii="Arial" w:hAnsi="Arial" w:cs="Arial"/>
          <w:b/>
          <w:bCs/>
          <w:spacing w:val="6"/>
          <w:sz w:val="24"/>
          <w:szCs w:val="24"/>
        </w:rPr>
        <w:t>Q5-</w:t>
      </w:r>
      <w:r w:rsidRPr="001F24C0">
        <w:rPr>
          <w:rFonts w:ascii="Arial" w:hAnsi="Arial" w:cs="Arial"/>
          <w:spacing w:val="6"/>
          <w:sz w:val="24"/>
          <w:szCs w:val="24"/>
        </w:rPr>
        <w:tab/>
      </w:r>
      <w:r w:rsidRPr="001D1E5D">
        <w:rPr>
          <w:rFonts w:ascii="Arial" w:hAnsi="Arial" w:cs="Arial"/>
          <w:spacing w:val="6"/>
          <w:sz w:val="24"/>
          <w:szCs w:val="24"/>
        </w:rPr>
        <w:t xml:space="preserve">Déterminer la concentration en ions nitrite de la solution </w:t>
      </w:r>
      <w:proofErr w:type="spellStart"/>
      <w:r w:rsidRPr="002D3429">
        <w:rPr>
          <w:rFonts w:ascii="Arial" w:hAnsi="Arial" w:cs="Arial"/>
          <w:spacing w:val="6"/>
          <w:sz w:val="24"/>
          <w:szCs w:val="24"/>
        </w:rPr>
        <w:t>S</w:t>
      </w:r>
      <w:r>
        <w:rPr>
          <w:rFonts w:ascii="Arial" w:hAnsi="Arial" w:cs="Arial"/>
          <w:spacing w:val="6"/>
          <w:sz w:val="24"/>
          <w:szCs w:val="24"/>
          <w:vertAlign w:val="subscript"/>
        </w:rPr>
        <w:t>j</w:t>
      </w:r>
      <w:proofErr w:type="spellEnd"/>
      <w:r w:rsidRPr="001D1E5D">
        <w:rPr>
          <w:rFonts w:ascii="Arial" w:hAnsi="Arial" w:cs="Arial"/>
          <w:spacing w:val="6"/>
          <w:sz w:val="24"/>
          <w:szCs w:val="24"/>
        </w:rPr>
        <w:t>.</w:t>
      </w:r>
    </w:p>
    <w:p w14:paraId="4E286D52" w14:textId="77777777" w:rsidR="001F24C0" w:rsidRPr="001F24C0" w:rsidRDefault="001F24C0" w:rsidP="001F24C0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6A65A664" w14:textId="77777777" w:rsidR="001F24C0" w:rsidRPr="001F24C0" w:rsidRDefault="001F24C0" w:rsidP="001F24C0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267543D9" w14:textId="77777777" w:rsidR="002D3429" w:rsidRPr="002D3429" w:rsidRDefault="002D3429" w:rsidP="002D3429">
      <w:pPr>
        <w:spacing w:after="0" w:line="240" w:lineRule="auto"/>
        <w:jc w:val="both"/>
        <w:rPr>
          <w:rFonts w:ascii="Arial" w:hAnsi="Arial" w:cs="Arial"/>
          <w:b/>
          <w:bCs/>
          <w:spacing w:val="6"/>
          <w:sz w:val="24"/>
          <w:szCs w:val="24"/>
        </w:rPr>
      </w:pPr>
      <w:r w:rsidRPr="002D3429">
        <w:rPr>
          <w:rFonts w:ascii="Arial" w:hAnsi="Arial" w:cs="Arial"/>
          <w:b/>
          <w:bCs/>
          <w:spacing w:val="6"/>
          <w:sz w:val="24"/>
          <w:szCs w:val="24"/>
        </w:rPr>
        <w:t>Combien peut-on manger de tranches ?</w:t>
      </w:r>
    </w:p>
    <w:p w14:paraId="7BB8B405" w14:textId="77777777" w:rsidR="002D3429" w:rsidRDefault="002D3429" w:rsidP="002D3429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77DF1C00" w14:textId="77777777" w:rsidR="002D3429" w:rsidRPr="002D3429" w:rsidRDefault="002D3429" w:rsidP="002D3429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2D3429">
        <w:rPr>
          <w:rFonts w:ascii="Arial" w:hAnsi="Arial" w:cs="Arial"/>
          <w:spacing w:val="6"/>
          <w:sz w:val="24"/>
          <w:szCs w:val="24"/>
        </w:rPr>
        <w:t>On souhaite déterminer combien de tranches de viande en salaison une personne de 70</w:t>
      </w:r>
      <w:r>
        <w:rPr>
          <w:rFonts w:ascii="Arial" w:hAnsi="Arial" w:cs="Arial"/>
          <w:spacing w:val="6"/>
          <w:sz w:val="24"/>
          <w:szCs w:val="24"/>
        </w:rPr>
        <w:t> </w:t>
      </w:r>
      <w:r w:rsidRPr="002D3429">
        <w:rPr>
          <w:rFonts w:ascii="Arial" w:hAnsi="Arial" w:cs="Arial"/>
          <w:spacing w:val="6"/>
          <w:sz w:val="24"/>
          <w:szCs w:val="24"/>
        </w:rPr>
        <w:t>kg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2D3429">
        <w:rPr>
          <w:rFonts w:ascii="Arial" w:hAnsi="Arial" w:cs="Arial"/>
          <w:spacing w:val="6"/>
          <w:sz w:val="24"/>
          <w:szCs w:val="24"/>
        </w:rPr>
        <w:t>peut manger par jour en respectant la DJA.</w:t>
      </w:r>
    </w:p>
    <w:p w14:paraId="45421353" w14:textId="77777777" w:rsidR="002D3429" w:rsidRPr="002D3429" w:rsidRDefault="002D3429" w:rsidP="002D3429">
      <w:pPr>
        <w:spacing w:before="120" w:after="120" w:line="24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2D3429">
        <w:rPr>
          <w:rFonts w:ascii="Arial" w:hAnsi="Arial" w:cs="Arial"/>
          <w:spacing w:val="6"/>
          <w:sz w:val="24"/>
          <w:szCs w:val="24"/>
        </w:rPr>
        <w:t>Hypothèses et données</w:t>
      </w:r>
      <w:r>
        <w:rPr>
          <w:rFonts w:ascii="Arial" w:hAnsi="Arial" w:cs="Arial"/>
          <w:spacing w:val="6"/>
          <w:sz w:val="24"/>
          <w:szCs w:val="24"/>
        </w:rPr>
        <w:t> :</w:t>
      </w:r>
    </w:p>
    <w:p w14:paraId="12EC4394" w14:textId="77777777" w:rsidR="002D3429" w:rsidRPr="002D3429" w:rsidRDefault="002D3429" w:rsidP="002D3429">
      <w:pPr>
        <w:pStyle w:val="Paragraphedeliste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6"/>
          <w:sz w:val="24"/>
          <w:szCs w:val="24"/>
        </w:rPr>
      </w:pPr>
      <w:r w:rsidRPr="002D3429">
        <w:rPr>
          <w:rFonts w:ascii="Arial" w:hAnsi="Arial" w:cs="Arial"/>
          <w:spacing w:val="6"/>
          <w:sz w:val="24"/>
          <w:szCs w:val="24"/>
        </w:rPr>
        <w:t>Les tranches de viande en salaison sont supposées avoir toutes une masse et une teneur en nitrite proches de celles de la tranche étudiée précédemment.</w:t>
      </w:r>
    </w:p>
    <w:p w14:paraId="0CE931E0" w14:textId="77777777" w:rsidR="002D3429" w:rsidRPr="002D3429" w:rsidRDefault="002D3429" w:rsidP="002D3429">
      <w:pPr>
        <w:pStyle w:val="Paragraphedeliste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6"/>
          <w:sz w:val="24"/>
          <w:szCs w:val="24"/>
        </w:rPr>
      </w:pPr>
      <w:r w:rsidRPr="002D3429">
        <w:rPr>
          <w:rFonts w:ascii="Arial" w:hAnsi="Arial" w:cs="Arial"/>
          <w:spacing w:val="6"/>
          <w:sz w:val="24"/>
          <w:szCs w:val="24"/>
        </w:rPr>
        <w:t xml:space="preserve">Masse molaire des ions nitrite : </w:t>
      </w:r>
      <w:r w:rsidRPr="002D3429">
        <w:rPr>
          <w:rFonts w:ascii="Arial" w:hAnsi="Arial" w:cs="Arial"/>
          <w:i/>
          <w:iCs/>
          <w:spacing w:val="6"/>
          <w:sz w:val="24"/>
          <w:szCs w:val="24"/>
        </w:rPr>
        <w:t>M</w:t>
      </w:r>
      <w:r w:rsidRPr="002D3429">
        <w:rPr>
          <w:rFonts w:ascii="Arial" w:hAnsi="Arial" w:cs="Arial"/>
          <w:spacing w:val="6"/>
          <w:sz w:val="24"/>
          <w:szCs w:val="24"/>
        </w:rPr>
        <w:t>(NO</w:t>
      </w:r>
      <w:r w:rsidRPr="002D3429">
        <w:rPr>
          <w:rFonts w:ascii="Arial" w:hAnsi="Arial" w:cs="Arial"/>
          <w:spacing w:val="6"/>
          <w:sz w:val="24"/>
          <w:szCs w:val="24"/>
          <w:vertAlign w:val="subscript"/>
        </w:rPr>
        <w:t>2</w:t>
      </w:r>
      <w:r w:rsidRPr="002D3429">
        <w:rPr>
          <w:rFonts w:ascii="Arial" w:hAnsi="Arial" w:cs="Arial"/>
          <w:spacing w:val="6"/>
          <w:sz w:val="24"/>
          <w:szCs w:val="24"/>
          <w:vertAlign w:val="superscript"/>
        </w:rPr>
        <w:t>−</w:t>
      </w:r>
      <w:r w:rsidRPr="002D3429">
        <w:rPr>
          <w:rFonts w:ascii="Arial" w:hAnsi="Arial" w:cs="Arial"/>
          <w:spacing w:val="6"/>
          <w:sz w:val="24"/>
          <w:szCs w:val="24"/>
        </w:rPr>
        <w:t xml:space="preserve">) = 46 g </w:t>
      </w:r>
      <w:r w:rsidRPr="002D3429">
        <w:rPr>
          <w:rFonts w:ascii="Cambria Math" w:hAnsi="Cambria Math" w:cs="Cambria Math"/>
          <w:spacing w:val="6"/>
          <w:sz w:val="24"/>
          <w:szCs w:val="24"/>
        </w:rPr>
        <w:t>⋅</w:t>
      </w:r>
      <w:r w:rsidRPr="002D3429">
        <w:rPr>
          <w:rFonts w:ascii="Arial" w:hAnsi="Arial" w:cs="Arial"/>
          <w:spacing w:val="6"/>
          <w:sz w:val="24"/>
          <w:szCs w:val="24"/>
        </w:rPr>
        <w:t xml:space="preserve"> mol</w:t>
      </w:r>
      <w:r w:rsidRPr="002D3429">
        <w:rPr>
          <w:rFonts w:ascii="Arial" w:hAnsi="Arial" w:cs="Arial"/>
          <w:spacing w:val="6"/>
          <w:sz w:val="24"/>
          <w:szCs w:val="24"/>
          <w:vertAlign w:val="superscript"/>
        </w:rPr>
        <w:t>−1</w:t>
      </w:r>
      <w:r w:rsidRPr="002D3429">
        <w:rPr>
          <w:rFonts w:ascii="Arial" w:hAnsi="Arial" w:cs="Arial"/>
          <w:spacing w:val="6"/>
          <w:sz w:val="24"/>
          <w:szCs w:val="24"/>
        </w:rPr>
        <w:t>.</w:t>
      </w:r>
    </w:p>
    <w:p w14:paraId="692B1F30" w14:textId="77777777" w:rsidR="002D3429" w:rsidRPr="002D3429" w:rsidRDefault="002D3429" w:rsidP="002D3429">
      <w:pPr>
        <w:pStyle w:val="Paragraphedeliste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6"/>
          <w:sz w:val="24"/>
          <w:szCs w:val="24"/>
        </w:rPr>
      </w:pPr>
      <w:r w:rsidRPr="002D3429">
        <w:rPr>
          <w:rFonts w:ascii="Arial" w:hAnsi="Arial" w:cs="Arial"/>
          <w:spacing w:val="6"/>
          <w:sz w:val="24"/>
          <w:szCs w:val="24"/>
        </w:rPr>
        <w:t>DJA des nitrites : 0,07 mg par kilogramme de masse corporelle.</w:t>
      </w:r>
    </w:p>
    <w:p w14:paraId="365852D9" w14:textId="77777777" w:rsidR="002D3429" w:rsidRPr="002D3429" w:rsidRDefault="002D3429" w:rsidP="002D3429">
      <w:pPr>
        <w:pStyle w:val="Paragraphedeliste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6"/>
          <w:sz w:val="24"/>
          <w:szCs w:val="24"/>
        </w:rPr>
      </w:pPr>
      <w:r w:rsidRPr="002D3429">
        <w:rPr>
          <w:rFonts w:ascii="Arial" w:hAnsi="Arial" w:cs="Arial"/>
          <w:spacing w:val="6"/>
          <w:sz w:val="24"/>
          <w:szCs w:val="24"/>
        </w:rPr>
        <w:t>Masse corporelle de la personne considérée</w:t>
      </w:r>
      <w:r>
        <w:rPr>
          <w:rFonts w:ascii="Arial" w:hAnsi="Arial" w:cs="Arial"/>
          <w:spacing w:val="6"/>
          <w:sz w:val="24"/>
          <w:szCs w:val="24"/>
        </w:rPr>
        <w:t xml:space="preserve"> : </w:t>
      </w:r>
      <w:r w:rsidRPr="002D3429">
        <w:rPr>
          <w:rFonts w:ascii="Arial" w:hAnsi="Arial" w:cs="Arial"/>
          <w:i/>
          <w:iCs/>
          <w:spacing w:val="6"/>
          <w:sz w:val="24"/>
          <w:szCs w:val="24"/>
        </w:rPr>
        <w:t>m</w:t>
      </w:r>
      <w:r w:rsidRPr="002D3429">
        <w:rPr>
          <w:rFonts w:ascii="Arial" w:hAnsi="Arial" w:cs="Arial"/>
          <w:spacing w:val="6"/>
          <w:sz w:val="24"/>
          <w:szCs w:val="24"/>
        </w:rPr>
        <w:t xml:space="preserve"> = 70 kg.</w:t>
      </w:r>
    </w:p>
    <w:p w14:paraId="7E35010E" w14:textId="77777777" w:rsidR="001F24C0" w:rsidRPr="001F24C0" w:rsidRDefault="001F24C0" w:rsidP="003302A7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638D23E0" w14:textId="5678B779" w:rsidR="003302A7" w:rsidRPr="001F24C0" w:rsidRDefault="003302A7" w:rsidP="003302A7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pacing w:val="6"/>
          <w:sz w:val="24"/>
          <w:szCs w:val="24"/>
        </w:rPr>
      </w:pPr>
      <w:r w:rsidRPr="001F24C0">
        <w:rPr>
          <w:rFonts w:ascii="Arial" w:hAnsi="Arial" w:cs="Arial"/>
          <w:b/>
          <w:bCs/>
          <w:spacing w:val="6"/>
          <w:sz w:val="24"/>
          <w:szCs w:val="24"/>
        </w:rPr>
        <w:t>Q6-</w:t>
      </w:r>
      <w:r w:rsidRPr="001F24C0">
        <w:rPr>
          <w:rFonts w:ascii="Arial" w:hAnsi="Arial" w:cs="Arial"/>
          <w:spacing w:val="6"/>
          <w:sz w:val="24"/>
          <w:szCs w:val="24"/>
        </w:rPr>
        <w:tab/>
      </w:r>
      <w:r w:rsidR="002D3429" w:rsidRPr="002D3429">
        <w:rPr>
          <w:rFonts w:ascii="Arial" w:hAnsi="Arial" w:cs="Arial"/>
          <w:spacing w:val="6"/>
          <w:sz w:val="24"/>
          <w:szCs w:val="24"/>
        </w:rPr>
        <w:t>Estimer la quantité de tranches de viande en salaison que la personne considérée</w:t>
      </w:r>
      <w:r w:rsidR="002D3429">
        <w:rPr>
          <w:rFonts w:ascii="Arial" w:hAnsi="Arial" w:cs="Arial"/>
          <w:spacing w:val="6"/>
          <w:sz w:val="24"/>
          <w:szCs w:val="24"/>
        </w:rPr>
        <w:t xml:space="preserve"> </w:t>
      </w:r>
      <w:r w:rsidR="002D3429" w:rsidRPr="002D3429">
        <w:rPr>
          <w:rFonts w:ascii="Arial" w:hAnsi="Arial" w:cs="Arial"/>
          <w:spacing w:val="6"/>
          <w:sz w:val="24"/>
          <w:szCs w:val="24"/>
        </w:rPr>
        <w:t>peut manger par jour en respectant la DJA.</w:t>
      </w:r>
    </w:p>
    <w:p w14:paraId="53DC05E4" w14:textId="77777777" w:rsidR="003302A7" w:rsidRDefault="003302A7" w:rsidP="00EB2A3D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725D74ED" w14:textId="2EA3D8EA" w:rsidR="002D3429" w:rsidRPr="002D3429" w:rsidRDefault="002D3429" w:rsidP="002D3429">
      <w:pPr>
        <w:spacing w:after="0" w:line="240" w:lineRule="auto"/>
        <w:jc w:val="both"/>
        <w:rPr>
          <w:rFonts w:ascii="Arial" w:hAnsi="Arial" w:cs="Arial"/>
          <w:i/>
          <w:iCs/>
          <w:spacing w:val="6"/>
          <w:sz w:val="24"/>
          <w:szCs w:val="24"/>
        </w:rPr>
      </w:pPr>
      <w:r w:rsidRPr="002D3429">
        <w:rPr>
          <w:rFonts w:ascii="Arial" w:hAnsi="Arial" w:cs="Arial"/>
          <w:i/>
          <w:iCs/>
          <w:spacing w:val="6"/>
          <w:sz w:val="24"/>
          <w:szCs w:val="24"/>
        </w:rPr>
        <w:t>Dans cette question, le candidat est invité à prendre des initiatives et à présenter la démarche suivie, même si elle n’a pas abouti. La démarche est évaluée et nécessite d’être correctement présentée.</w:t>
      </w:r>
    </w:p>
    <w:sectPr w:rsidR="002D3429" w:rsidRPr="002D342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5989"/>
    <w:multiLevelType w:val="hybridMultilevel"/>
    <w:tmpl w:val="6BB6B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25B7"/>
    <w:multiLevelType w:val="hybridMultilevel"/>
    <w:tmpl w:val="09EE61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0592"/>
    <w:multiLevelType w:val="hybridMultilevel"/>
    <w:tmpl w:val="AC2821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71D55"/>
    <w:multiLevelType w:val="hybridMultilevel"/>
    <w:tmpl w:val="1F427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E49FC"/>
    <w:multiLevelType w:val="hybridMultilevel"/>
    <w:tmpl w:val="35124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C7F42"/>
    <w:multiLevelType w:val="hybridMultilevel"/>
    <w:tmpl w:val="D9120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04354"/>
    <w:multiLevelType w:val="hybridMultilevel"/>
    <w:tmpl w:val="454E4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E26E0"/>
    <w:multiLevelType w:val="hybridMultilevel"/>
    <w:tmpl w:val="52CE198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831E9"/>
    <w:multiLevelType w:val="hybridMultilevel"/>
    <w:tmpl w:val="F89AB98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0B532B"/>
    <w:multiLevelType w:val="hybridMultilevel"/>
    <w:tmpl w:val="7BE0B19C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01FCE"/>
    <w:multiLevelType w:val="hybridMultilevel"/>
    <w:tmpl w:val="C0DC3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9737A"/>
    <w:multiLevelType w:val="hybridMultilevel"/>
    <w:tmpl w:val="3A8C62DE"/>
    <w:lvl w:ilvl="0" w:tplc="0BE81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3076D"/>
    <w:multiLevelType w:val="hybridMultilevel"/>
    <w:tmpl w:val="FD928A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F5824"/>
    <w:multiLevelType w:val="hybridMultilevel"/>
    <w:tmpl w:val="67AE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DB608B"/>
    <w:multiLevelType w:val="hybridMultilevel"/>
    <w:tmpl w:val="E2766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56211"/>
    <w:multiLevelType w:val="hybridMultilevel"/>
    <w:tmpl w:val="FBB4DC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A1039"/>
    <w:multiLevelType w:val="hybridMultilevel"/>
    <w:tmpl w:val="992006AA"/>
    <w:lvl w:ilvl="0" w:tplc="A5C884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21680"/>
    <w:multiLevelType w:val="hybridMultilevel"/>
    <w:tmpl w:val="E4262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F3807"/>
    <w:multiLevelType w:val="hybridMultilevel"/>
    <w:tmpl w:val="3DBA607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96663"/>
    <w:multiLevelType w:val="hybridMultilevel"/>
    <w:tmpl w:val="79D41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10DC9"/>
    <w:multiLevelType w:val="hybridMultilevel"/>
    <w:tmpl w:val="DD08FCCA"/>
    <w:lvl w:ilvl="0" w:tplc="B3986F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52D45"/>
    <w:multiLevelType w:val="hybridMultilevel"/>
    <w:tmpl w:val="E1249FF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97BAC"/>
    <w:multiLevelType w:val="hybridMultilevel"/>
    <w:tmpl w:val="B76C4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82C59"/>
    <w:multiLevelType w:val="hybridMultilevel"/>
    <w:tmpl w:val="13CE0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60B64"/>
    <w:multiLevelType w:val="hybridMultilevel"/>
    <w:tmpl w:val="2266E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EB7A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77755"/>
    <w:multiLevelType w:val="hybridMultilevel"/>
    <w:tmpl w:val="93BE8724"/>
    <w:lvl w:ilvl="0" w:tplc="040C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43" w15:restartNumberingAfterBreak="0">
    <w:nsid w:val="7C690E3D"/>
    <w:multiLevelType w:val="hybridMultilevel"/>
    <w:tmpl w:val="B658FF00"/>
    <w:lvl w:ilvl="0" w:tplc="040C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2029796506">
    <w:abstractNumId w:val="38"/>
  </w:num>
  <w:num w:numId="2" w16cid:durableId="147598150">
    <w:abstractNumId w:val="39"/>
  </w:num>
  <w:num w:numId="3" w16cid:durableId="1043673191">
    <w:abstractNumId w:val="8"/>
  </w:num>
  <w:num w:numId="4" w16cid:durableId="1554997379">
    <w:abstractNumId w:val="15"/>
  </w:num>
  <w:num w:numId="5" w16cid:durableId="1774783699">
    <w:abstractNumId w:val="25"/>
  </w:num>
  <w:num w:numId="6" w16cid:durableId="1209610847">
    <w:abstractNumId w:val="12"/>
  </w:num>
  <w:num w:numId="7" w16cid:durableId="1069693144">
    <w:abstractNumId w:val="37"/>
  </w:num>
  <w:num w:numId="8" w16cid:durableId="2051689700">
    <w:abstractNumId w:val="30"/>
  </w:num>
  <w:num w:numId="9" w16cid:durableId="216749121">
    <w:abstractNumId w:val="4"/>
  </w:num>
  <w:num w:numId="10" w16cid:durableId="745884451">
    <w:abstractNumId w:val="27"/>
  </w:num>
  <w:num w:numId="11" w16cid:durableId="1463964506">
    <w:abstractNumId w:val="41"/>
  </w:num>
  <w:num w:numId="12" w16cid:durableId="1430850099">
    <w:abstractNumId w:val="5"/>
  </w:num>
  <w:num w:numId="13" w16cid:durableId="220554775">
    <w:abstractNumId w:val="23"/>
  </w:num>
  <w:num w:numId="14" w16cid:durableId="363479020">
    <w:abstractNumId w:val="3"/>
  </w:num>
  <w:num w:numId="15" w16cid:durableId="2015108701">
    <w:abstractNumId w:val="13"/>
  </w:num>
  <w:num w:numId="16" w16cid:durableId="166361213">
    <w:abstractNumId w:val="14"/>
  </w:num>
  <w:num w:numId="17" w16cid:durableId="1337030129">
    <w:abstractNumId w:val="9"/>
  </w:num>
  <w:num w:numId="18" w16cid:durableId="167789783">
    <w:abstractNumId w:val="17"/>
  </w:num>
  <w:num w:numId="19" w16cid:durableId="1797260224">
    <w:abstractNumId w:val="20"/>
  </w:num>
  <w:num w:numId="20" w16cid:durableId="1337878583">
    <w:abstractNumId w:val="29"/>
  </w:num>
  <w:num w:numId="21" w16cid:durableId="224417964">
    <w:abstractNumId w:val="40"/>
  </w:num>
  <w:num w:numId="22" w16cid:durableId="1629774374">
    <w:abstractNumId w:val="16"/>
  </w:num>
  <w:num w:numId="23" w16cid:durableId="1518153692">
    <w:abstractNumId w:val="18"/>
  </w:num>
  <w:num w:numId="24" w16cid:durableId="1275206359">
    <w:abstractNumId w:val="36"/>
  </w:num>
  <w:num w:numId="25" w16cid:durableId="1900704374">
    <w:abstractNumId w:val="43"/>
  </w:num>
  <w:num w:numId="26" w16cid:durableId="539975062">
    <w:abstractNumId w:val="1"/>
  </w:num>
  <w:num w:numId="27" w16cid:durableId="1575162431">
    <w:abstractNumId w:val="21"/>
  </w:num>
  <w:num w:numId="28" w16cid:durableId="802121167">
    <w:abstractNumId w:val="2"/>
  </w:num>
  <w:num w:numId="29" w16cid:durableId="1109735565">
    <w:abstractNumId w:val="26"/>
  </w:num>
  <w:num w:numId="30" w16cid:durableId="1618875814">
    <w:abstractNumId w:val="22"/>
  </w:num>
  <w:num w:numId="31" w16cid:durableId="1142389159">
    <w:abstractNumId w:val="32"/>
  </w:num>
  <w:num w:numId="32" w16cid:durableId="2101484747">
    <w:abstractNumId w:val="24"/>
  </w:num>
  <w:num w:numId="33" w16cid:durableId="524053944">
    <w:abstractNumId w:val="7"/>
  </w:num>
  <w:num w:numId="34" w16cid:durableId="221910694">
    <w:abstractNumId w:val="0"/>
  </w:num>
  <w:num w:numId="35" w16cid:durableId="192575623">
    <w:abstractNumId w:val="11"/>
  </w:num>
  <w:num w:numId="36" w16cid:durableId="434441560">
    <w:abstractNumId w:val="6"/>
  </w:num>
  <w:num w:numId="37" w16cid:durableId="342980178">
    <w:abstractNumId w:val="42"/>
  </w:num>
  <w:num w:numId="38" w16cid:durableId="1184780202">
    <w:abstractNumId w:val="35"/>
  </w:num>
  <w:num w:numId="39" w16cid:durableId="1513840725">
    <w:abstractNumId w:val="19"/>
  </w:num>
  <w:num w:numId="40" w16cid:durableId="287901803">
    <w:abstractNumId w:val="10"/>
  </w:num>
  <w:num w:numId="41" w16cid:durableId="457458964">
    <w:abstractNumId w:val="34"/>
  </w:num>
  <w:num w:numId="42" w16cid:durableId="224800829">
    <w:abstractNumId w:val="33"/>
  </w:num>
  <w:num w:numId="43" w16cid:durableId="1608349552">
    <w:abstractNumId w:val="31"/>
  </w:num>
  <w:num w:numId="44" w16cid:durableId="18691744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15931"/>
    <w:rsid w:val="0003026C"/>
    <w:rsid w:val="0003487F"/>
    <w:rsid w:val="00036B43"/>
    <w:rsid w:val="00040449"/>
    <w:rsid w:val="0008485D"/>
    <w:rsid w:val="00093947"/>
    <w:rsid w:val="000A0ABA"/>
    <w:rsid w:val="000B7173"/>
    <w:rsid w:val="000C614E"/>
    <w:rsid w:val="000D6EDC"/>
    <w:rsid w:val="000E5C1D"/>
    <w:rsid w:val="000F5AD2"/>
    <w:rsid w:val="00106EA1"/>
    <w:rsid w:val="00142394"/>
    <w:rsid w:val="0014723E"/>
    <w:rsid w:val="0015116D"/>
    <w:rsid w:val="00152816"/>
    <w:rsid w:val="001A533E"/>
    <w:rsid w:val="001B787C"/>
    <w:rsid w:val="001C1899"/>
    <w:rsid w:val="001D1E5D"/>
    <w:rsid w:val="001E2FAA"/>
    <w:rsid w:val="001E7045"/>
    <w:rsid w:val="001F24C0"/>
    <w:rsid w:val="00215467"/>
    <w:rsid w:val="00233A95"/>
    <w:rsid w:val="00234D33"/>
    <w:rsid w:val="002537E0"/>
    <w:rsid w:val="0026164E"/>
    <w:rsid w:val="002A09FB"/>
    <w:rsid w:val="002C27A0"/>
    <w:rsid w:val="002C4CD5"/>
    <w:rsid w:val="002D3429"/>
    <w:rsid w:val="002E27F7"/>
    <w:rsid w:val="002F1EA0"/>
    <w:rsid w:val="002F52C0"/>
    <w:rsid w:val="002F5D46"/>
    <w:rsid w:val="003302A7"/>
    <w:rsid w:val="00371118"/>
    <w:rsid w:val="00387A6D"/>
    <w:rsid w:val="003962B8"/>
    <w:rsid w:val="003D41E2"/>
    <w:rsid w:val="00416279"/>
    <w:rsid w:val="00434711"/>
    <w:rsid w:val="00456226"/>
    <w:rsid w:val="004640CD"/>
    <w:rsid w:val="00464EFD"/>
    <w:rsid w:val="00493E98"/>
    <w:rsid w:val="004A0F56"/>
    <w:rsid w:val="004C0240"/>
    <w:rsid w:val="004C71DB"/>
    <w:rsid w:val="00514184"/>
    <w:rsid w:val="00544544"/>
    <w:rsid w:val="005847DE"/>
    <w:rsid w:val="005B0CDD"/>
    <w:rsid w:val="005C351E"/>
    <w:rsid w:val="00603DC8"/>
    <w:rsid w:val="00603F7B"/>
    <w:rsid w:val="00625CB6"/>
    <w:rsid w:val="00675FAC"/>
    <w:rsid w:val="006D1F2D"/>
    <w:rsid w:val="006F6AA2"/>
    <w:rsid w:val="00772069"/>
    <w:rsid w:val="00795AEF"/>
    <w:rsid w:val="007A0F5A"/>
    <w:rsid w:val="007A4BDA"/>
    <w:rsid w:val="007C1963"/>
    <w:rsid w:val="007F63BE"/>
    <w:rsid w:val="0087301A"/>
    <w:rsid w:val="008828D8"/>
    <w:rsid w:val="008F1437"/>
    <w:rsid w:val="008F1CC1"/>
    <w:rsid w:val="00974E49"/>
    <w:rsid w:val="009A4881"/>
    <w:rsid w:val="009C65EF"/>
    <w:rsid w:val="00A34305"/>
    <w:rsid w:val="00A60135"/>
    <w:rsid w:val="00A86B99"/>
    <w:rsid w:val="00A92C11"/>
    <w:rsid w:val="00A969C5"/>
    <w:rsid w:val="00AB12C7"/>
    <w:rsid w:val="00AC0230"/>
    <w:rsid w:val="00AE2D23"/>
    <w:rsid w:val="00B01CD2"/>
    <w:rsid w:val="00B158CD"/>
    <w:rsid w:val="00B46774"/>
    <w:rsid w:val="00B60B4F"/>
    <w:rsid w:val="00B74034"/>
    <w:rsid w:val="00BB3B8F"/>
    <w:rsid w:val="00BB7925"/>
    <w:rsid w:val="00BC0929"/>
    <w:rsid w:val="00BC2458"/>
    <w:rsid w:val="00BC5C78"/>
    <w:rsid w:val="00BD1241"/>
    <w:rsid w:val="00BD540B"/>
    <w:rsid w:val="00C045DE"/>
    <w:rsid w:val="00C507C4"/>
    <w:rsid w:val="00C73CD9"/>
    <w:rsid w:val="00C75002"/>
    <w:rsid w:val="00C8315E"/>
    <w:rsid w:val="00C91A39"/>
    <w:rsid w:val="00C97630"/>
    <w:rsid w:val="00CD6C6A"/>
    <w:rsid w:val="00D24B79"/>
    <w:rsid w:val="00D3135A"/>
    <w:rsid w:val="00D4780E"/>
    <w:rsid w:val="00D56B82"/>
    <w:rsid w:val="00DA2CE7"/>
    <w:rsid w:val="00DE7BCC"/>
    <w:rsid w:val="00E6181C"/>
    <w:rsid w:val="00EB2A3D"/>
    <w:rsid w:val="00EB63DF"/>
    <w:rsid w:val="00ED35FE"/>
    <w:rsid w:val="00EE01D3"/>
    <w:rsid w:val="00EE2D98"/>
    <w:rsid w:val="00F0583B"/>
    <w:rsid w:val="00F15380"/>
    <w:rsid w:val="00F274EE"/>
    <w:rsid w:val="00F320D5"/>
    <w:rsid w:val="00F6498E"/>
    <w:rsid w:val="00F65DA1"/>
    <w:rsid w:val="00F710C6"/>
    <w:rsid w:val="00FA41F4"/>
    <w:rsid w:val="00FD68B0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abolyce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5</cp:revision>
  <cp:lastPrinted>2024-08-26T08:31:00Z</cp:lastPrinted>
  <dcterms:created xsi:type="dcterms:W3CDTF">2024-08-26T08:27:00Z</dcterms:created>
  <dcterms:modified xsi:type="dcterms:W3CDTF">2024-08-26T08:31:00Z</dcterms:modified>
</cp:coreProperties>
</file>