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D95E" w14:textId="38D704AD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662655">
        <w:rPr>
          <w:b/>
          <w:bCs/>
        </w:rPr>
        <w:t>4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D230E9">
        <w:rPr>
          <w:b/>
          <w:bCs/>
        </w:rPr>
        <w:t xml:space="preserve">1 </w:t>
      </w:r>
      <w:r w:rsidR="00BB0C92">
        <w:rPr>
          <w:b/>
          <w:bCs/>
        </w:rPr>
        <w:t>(</w:t>
      </w:r>
      <w:r w:rsidR="00D230E9">
        <w:rPr>
          <w:b/>
          <w:bCs/>
        </w:rPr>
        <w:t>J</w:t>
      </w:r>
      <w:r w:rsidR="00F24D24">
        <w:rPr>
          <w:b/>
          <w:bCs/>
        </w:rPr>
        <w:t xml:space="preserve">our </w:t>
      </w:r>
      <w:r w:rsidR="00E042C1">
        <w:rPr>
          <w:b/>
          <w:bCs/>
        </w:rPr>
        <w:t>2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60413022" w14:textId="55AFD6FE" w:rsidR="000E51A4" w:rsidRDefault="00CA689C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</w:p>
    <w:p w14:paraId="4682CCBE" w14:textId="4F1C9DD2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0D33A9">
        <w:rPr>
          <w:b/>
          <w:bCs/>
        </w:rPr>
        <w:t>3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2F4162">
        <w:rPr>
          <w:b/>
          <w:bCs/>
        </w:rPr>
        <w:t>COUVERTURE DE SURVIE OU COUVERTURE EN LAINE ?</w:t>
      </w:r>
      <w:r w:rsidRPr="001013B2">
        <w:rPr>
          <w:b/>
          <w:bCs/>
        </w:rPr>
        <w:t xml:space="preserve"> (</w:t>
      </w:r>
      <w:r w:rsidR="000D33A9">
        <w:rPr>
          <w:b/>
          <w:bCs/>
        </w:rPr>
        <w:t>5</w:t>
      </w:r>
      <w:r w:rsidRPr="001013B2">
        <w:rPr>
          <w:b/>
          <w:bCs/>
        </w:rPr>
        <w:t xml:space="preserve"> points)</w:t>
      </w:r>
    </w:p>
    <w:p w14:paraId="52BA7566" w14:textId="5636B174" w:rsidR="006C42E1" w:rsidRPr="00F2787F" w:rsidRDefault="006C42E1" w:rsidP="006C42E1">
      <w:pPr>
        <w:rPr>
          <w:b/>
          <w:bCs/>
          <w:sz w:val="10"/>
          <w:szCs w:val="10"/>
        </w:rPr>
      </w:pPr>
    </w:p>
    <w:p w14:paraId="05840B97" w14:textId="77777777" w:rsidR="00B26DBF" w:rsidRDefault="00705A84" w:rsidP="00F433C6">
      <w:pPr>
        <w:pStyle w:val="Paragraphedeliste"/>
        <w:spacing w:line="276" w:lineRule="auto"/>
        <w:ind w:left="0"/>
        <w:jc w:val="both"/>
        <w:rPr>
          <w:sz w:val="22"/>
        </w:rPr>
      </w:pPr>
      <w:r w:rsidRPr="00B03C34">
        <w:rPr>
          <w:b/>
          <w:bCs/>
          <w:sz w:val="22"/>
        </w:rPr>
        <w:t xml:space="preserve">Q.1. </w:t>
      </w:r>
      <w:r w:rsidR="003C0BEE">
        <w:rPr>
          <w:sz w:val="22"/>
        </w:rPr>
        <w:t>Les trois modes de transfert</w:t>
      </w:r>
      <w:r w:rsidR="00B26DBF">
        <w:rPr>
          <w:sz w:val="22"/>
        </w:rPr>
        <w:t>s</w:t>
      </w:r>
      <w:r w:rsidR="003C0BEE">
        <w:rPr>
          <w:sz w:val="22"/>
        </w:rPr>
        <w:t xml:space="preserve"> thermique</w:t>
      </w:r>
      <w:r w:rsidR="00B26DBF">
        <w:rPr>
          <w:sz w:val="22"/>
        </w:rPr>
        <w:t>s</w:t>
      </w:r>
      <w:r w:rsidR="003C0BEE">
        <w:rPr>
          <w:sz w:val="22"/>
        </w:rPr>
        <w:t xml:space="preserve"> sont</w:t>
      </w:r>
      <w:r w:rsidR="00B26DBF">
        <w:rPr>
          <w:sz w:val="22"/>
        </w:rPr>
        <w:t xml:space="preserve"> : </w:t>
      </w:r>
      <w:r w:rsidR="00B26DBF" w:rsidRPr="00D52637">
        <w:rPr>
          <w:b/>
          <w:bCs/>
          <w:sz w:val="22"/>
        </w:rPr>
        <w:t>conduction</w:t>
      </w:r>
      <w:r w:rsidR="00B26DBF">
        <w:rPr>
          <w:sz w:val="22"/>
        </w:rPr>
        <w:t xml:space="preserve">, </w:t>
      </w:r>
      <w:r w:rsidR="00B26DBF" w:rsidRPr="00D52637">
        <w:rPr>
          <w:b/>
          <w:bCs/>
          <w:sz w:val="22"/>
        </w:rPr>
        <w:t>convection</w:t>
      </w:r>
      <w:r w:rsidR="00B26DBF">
        <w:rPr>
          <w:sz w:val="22"/>
        </w:rPr>
        <w:t xml:space="preserve"> et </w:t>
      </w:r>
      <w:r w:rsidR="00B26DBF" w:rsidRPr="00D52637">
        <w:rPr>
          <w:b/>
          <w:bCs/>
          <w:sz w:val="22"/>
        </w:rPr>
        <w:t>rayonnement</w:t>
      </w:r>
      <w:r w:rsidR="00B26DBF">
        <w:rPr>
          <w:sz w:val="22"/>
        </w:rPr>
        <w:t>.</w:t>
      </w:r>
    </w:p>
    <w:p w14:paraId="1D2F0874" w14:textId="5FFC7C73" w:rsidR="00F433C6" w:rsidRDefault="00B26DBF" w:rsidP="00D230E9">
      <w:pPr>
        <w:pStyle w:val="Paragraphedeliste"/>
        <w:spacing w:after="120" w:line="276" w:lineRule="auto"/>
        <w:ind w:left="0"/>
        <w:contextualSpacing w:val="0"/>
        <w:jc w:val="both"/>
        <w:rPr>
          <w:sz w:val="22"/>
        </w:rPr>
      </w:pPr>
      <w:r>
        <w:rPr>
          <w:sz w:val="22"/>
        </w:rPr>
        <w:t>Dans le vide spatial, il convient de protéger les satellites des</w:t>
      </w:r>
      <w:r w:rsidR="0064675F">
        <w:rPr>
          <w:sz w:val="22"/>
        </w:rPr>
        <w:t xml:space="preserve"> transferts par</w:t>
      </w:r>
      <w:r>
        <w:rPr>
          <w:sz w:val="22"/>
        </w:rPr>
        <w:t xml:space="preserve"> </w:t>
      </w:r>
      <w:r w:rsidRPr="00D52637">
        <w:rPr>
          <w:b/>
          <w:bCs/>
          <w:sz w:val="22"/>
        </w:rPr>
        <w:t>rayonnement</w:t>
      </w:r>
      <w:r w:rsidR="00F433C6">
        <w:rPr>
          <w:sz w:val="22"/>
        </w:rPr>
        <w:t xml:space="preserve"> </w:t>
      </w:r>
      <w:r w:rsidR="0064675F">
        <w:rPr>
          <w:sz w:val="22"/>
        </w:rPr>
        <w:t xml:space="preserve">issus </w:t>
      </w:r>
      <w:r w:rsidR="00F433C6">
        <w:rPr>
          <w:sz w:val="22"/>
        </w:rPr>
        <w:t>du Soleil.</w:t>
      </w:r>
    </w:p>
    <w:p w14:paraId="7F447166" w14:textId="408FD528" w:rsidR="00282560" w:rsidRPr="00282560" w:rsidRDefault="00117C3D" w:rsidP="002E58C2">
      <w:pPr>
        <w:pStyle w:val="Paragraphedeliste"/>
        <w:spacing w:line="276" w:lineRule="auto"/>
        <w:ind w:left="0"/>
        <w:jc w:val="both"/>
        <w:rPr>
          <w:sz w:val="22"/>
        </w:rPr>
      </w:pPr>
      <w:r w:rsidRPr="00B03C34">
        <w:rPr>
          <w:b/>
          <w:bCs/>
          <w:sz w:val="22"/>
        </w:rPr>
        <w:t>Q.</w:t>
      </w:r>
      <w:r w:rsidR="001D0326" w:rsidRPr="00B03C34">
        <w:rPr>
          <w:b/>
          <w:bCs/>
          <w:sz w:val="22"/>
        </w:rPr>
        <w:t xml:space="preserve">2. </w:t>
      </w:r>
      <w:r w:rsidR="00282560" w:rsidRPr="00282560">
        <w:rPr>
          <w:sz w:val="22"/>
        </w:rPr>
        <w:t xml:space="preserve">Vu que : - </w:t>
      </w:r>
      <w:r w:rsidR="00282560" w:rsidRPr="00282560">
        <w:rPr>
          <w:i/>
          <w:iCs/>
          <w:sz w:val="22"/>
        </w:rPr>
        <w:t>e</w:t>
      </w:r>
      <w:r w:rsidR="00282560" w:rsidRPr="00282560">
        <w:rPr>
          <w:sz w:val="22"/>
        </w:rPr>
        <w:t xml:space="preserve"> s’exprime en m</w:t>
      </w:r>
      <w:r w:rsidR="00317D99">
        <w:rPr>
          <w:sz w:val="22"/>
        </w:rPr>
        <w:t xml:space="preserve"> (dans le système international)</w:t>
      </w:r>
      <w:r w:rsidR="00282560" w:rsidRPr="00282560">
        <w:rPr>
          <w:sz w:val="22"/>
        </w:rPr>
        <w:t xml:space="preserve"> ; </w:t>
      </w:r>
    </w:p>
    <w:p w14:paraId="459F72BC" w14:textId="77777777" w:rsidR="0067659A" w:rsidRDefault="00282560" w:rsidP="002E58C2">
      <w:pPr>
        <w:pStyle w:val="Paragraphedeliste"/>
        <w:spacing w:line="276" w:lineRule="auto"/>
        <w:ind w:left="0"/>
        <w:jc w:val="both"/>
        <w:rPr>
          <w:sz w:val="22"/>
        </w:rPr>
      </w:pPr>
      <w:r w:rsidRPr="00282560">
        <w:rPr>
          <w:sz w:val="22"/>
        </w:rPr>
        <w:t xml:space="preserve">                      -</w:t>
      </w:r>
      <w:r>
        <w:rPr>
          <w:sz w:val="22"/>
        </w:rPr>
        <w:t xml:space="preserve"> </w:t>
      </w:r>
      <w:r w:rsidRPr="00282560">
        <w:rPr>
          <w:i/>
          <w:iCs/>
          <w:sz w:val="22"/>
        </w:rPr>
        <w:t xml:space="preserve">u </w:t>
      </w:r>
      <w:r w:rsidRPr="00282560">
        <w:rPr>
          <w:sz w:val="22"/>
        </w:rPr>
        <w:t xml:space="preserve">s’exprime en </w:t>
      </w:r>
      <w:r w:rsidR="001121CC" w:rsidRPr="001121CC">
        <w:rPr>
          <w:position w:val="-4"/>
          <w:sz w:val="22"/>
        </w:rPr>
        <w:object w:dxaOrig="1200" w:dyaOrig="300" w14:anchorId="779E0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pt" o:ole="">
            <v:imagedata r:id="rId7" o:title=""/>
          </v:shape>
          <o:OLEObject Type="Embed" ProgID="Equation.DSMT4" ShapeID="_x0000_i1025" DrawAspect="Content" ObjectID="_1786087786" r:id="rId8"/>
        </w:object>
      </w:r>
      <w:r w:rsidR="0067659A">
        <w:rPr>
          <w:sz w:val="22"/>
        </w:rPr>
        <w:t> ;</w:t>
      </w:r>
    </w:p>
    <w:p w14:paraId="2DC6200B" w14:textId="70DE17A9" w:rsidR="00CF24D5" w:rsidRDefault="00CF24D5" w:rsidP="002E58C2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 xml:space="preserve">                     </w:t>
      </w:r>
      <w:r w:rsidR="0067659A">
        <w:rPr>
          <w:sz w:val="22"/>
        </w:rPr>
        <w:t xml:space="preserve">- </w:t>
      </w:r>
      <w:r w:rsidR="00CE508A" w:rsidRPr="00CE508A">
        <w:rPr>
          <w:position w:val="-6"/>
          <w:sz w:val="22"/>
        </w:rPr>
        <w:object w:dxaOrig="220" w:dyaOrig="279" w14:anchorId="24D1F850">
          <v:shape id="_x0000_i1026" type="#_x0000_t75" style="width:10.8pt;height:14.4pt" o:ole="">
            <v:imagedata r:id="rId9" o:title=""/>
          </v:shape>
          <o:OLEObject Type="Embed" ProgID="Equation.DSMT4" ShapeID="_x0000_i1026" DrawAspect="Content" ObjectID="_1786087787" r:id="rId10"/>
        </w:object>
      </w:r>
      <w:r w:rsidR="0067659A" w:rsidRPr="00282560">
        <w:rPr>
          <w:i/>
          <w:iCs/>
          <w:sz w:val="22"/>
        </w:rPr>
        <w:t xml:space="preserve"> </w:t>
      </w:r>
      <w:r w:rsidR="0067659A" w:rsidRPr="00282560">
        <w:rPr>
          <w:sz w:val="22"/>
        </w:rPr>
        <w:t xml:space="preserve">s’exprime en </w:t>
      </w:r>
      <w:r w:rsidR="0067659A" w:rsidRPr="001121CC">
        <w:rPr>
          <w:position w:val="-4"/>
          <w:sz w:val="22"/>
        </w:rPr>
        <w:object w:dxaOrig="1180" w:dyaOrig="300" w14:anchorId="66A46A75">
          <v:shape id="_x0000_i1027" type="#_x0000_t75" style="width:58.8pt;height:15pt" o:ole="">
            <v:imagedata r:id="rId11" o:title=""/>
          </v:shape>
          <o:OLEObject Type="Embed" ProgID="Equation.DSMT4" ShapeID="_x0000_i1027" DrawAspect="Content" ObjectID="_1786087788" r:id="rId12"/>
        </w:object>
      </w:r>
      <w:r>
        <w:rPr>
          <w:sz w:val="22"/>
        </w:rPr>
        <w:t> ;</w:t>
      </w:r>
    </w:p>
    <w:p w14:paraId="10153B13" w14:textId="329D61AA" w:rsidR="00204676" w:rsidRDefault="00CF24D5" w:rsidP="002E58C2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 xml:space="preserve">On en déduit que </w:t>
      </w:r>
      <w:r w:rsidR="003E316C" w:rsidRPr="00204676">
        <w:rPr>
          <w:position w:val="-24"/>
          <w:sz w:val="22"/>
        </w:rPr>
        <w:object w:dxaOrig="1900" w:dyaOrig="620" w14:anchorId="183C3B99">
          <v:shape id="_x0000_i1028" type="#_x0000_t75" style="width:95.4pt;height:31.2pt" o:ole="">
            <v:imagedata r:id="rId13" o:title=""/>
          </v:shape>
          <o:OLEObject Type="Embed" ProgID="Equation.DSMT4" ShapeID="_x0000_i1028" DrawAspect="Content" ObjectID="_1786087789" r:id="rId14"/>
        </w:object>
      </w:r>
      <w:r w:rsidR="00204676">
        <w:rPr>
          <w:sz w:val="22"/>
        </w:rPr>
        <w:t xml:space="preserve"> pour que la relation soit homogène.</w:t>
      </w:r>
    </w:p>
    <w:p w14:paraId="1DADA0FD" w14:textId="63BDB4C2" w:rsidR="00980808" w:rsidRDefault="00585F9E" w:rsidP="002E58C2">
      <w:pPr>
        <w:pStyle w:val="Paragraphedeliste"/>
        <w:spacing w:line="276" w:lineRule="auto"/>
        <w:ind w:left="0"/>
        <w:jc w:val="both"/>
        <w:rPr>
          <w:sz w:val="22"/>
        </w:rPr>
      </w:pPr>
      <w:r w:rsidRPr="00B03C34">
        <w:rPr>
          <w:b/>
          <w:bCs/>
          <w:sz w:val="22"/>
        </w:rPr>
        <w:t>Q.</w:t>
      </w:r>
      <w:r w:rsidR="00470CB7" w:rsidRPr="00B03C34">
        <w:rPr>
          <w:b/>
          <w:bCs/>
          <w:sz w:val="22"/>
        </w:rPr>
        <w:t>3</w:t>
      </w:r>
      <w:r w:rsidRPr="00B03C34">
        <w:rPr>
          <w:b/>
          <w:bCs/>
          <w:sz w:val="22"/>
        </w:rPr>
        <w:t xml:space="preserve">. </w:t>
      </w:r>
      <w:r w:rsidR="00980808">
        <w:rPr>
          <w:sz w:val="22"/>
        </w:rPr>
        <w:t xml:space="preserve">Pour la couverture de survie : </w:t>
      </w:r>
      <w:r w:rsidR="003E1929" w:rsidRPr="00790486">
        <w:rPr>
          <w:position w:val="-12"/>
          <w:sz w:val="22"/>
        </w:rPr>
        <w:object w:dxaOrig="4320" w:dyaOrig="380" w14:anchorId="5031571F">
          <v:shape id="_x0000_i1029" type="#_x0000_t75" style="width:216.6pt;height:19.8pt" o:ole="">
            <v:imagedata r:id="rId15" o:title=""/>
          </v:shape>
          <o:OLEObject Type="Embed" ProgID="Equation.DSMT4" ShapeID="_x0000_i1029" DrawAspect="Content" ObjectID="_1786087790" r:id="rId16"/>
        </w:object>
      </w:r>
      <w:r w:rsidR="00232BD9">
        <w:rPr>
          <w:sz w:val="22"/>
        </w:rPr>
        <w:t>.</w:t>
      </w:r>
    </w:p>
    <w:p w14:paraId="42B1FD39" w14:textId="7FCC60DF" w:rsidR="003E1929" w:rsidRDefault="003E1929" w:rsidP="002E58C2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 xml:space="preserve">Pour la couverture en laine : </w:t>
      </w:r>
      <w:r w:rsidR="006D4BC7" w:rsidRPr="00790486">
        <w:rPr>
          <w:position w:val="-12"/>
          <w:sz w:val="22"/>
        </w:rPr>
        <w:object w:dxaOrig="4400" w:dyaOrig="380" w14:anchorId="414C49F3">
          <v:shape id="_x0000_i1030" type="#_x0000_t75" style="width:220.2pt;height:19.8pt" o:ole="">
            <v:imagedata r:id="rId17" o:title=""/>
          </v:shape>
          <o:OLEObject Type="Embed" ProgID="Equation.DSMT4" ShapeID="_x0000_i1030" DrawAspect="Content" ObjectID="_1786087791" r:id="rId18"/>
        </w:object>
      </w:r>
      <w:r w:rsidR="00232BD9">
        <w:rPr>
          <w:sz w:val="22"/>
        </w:rPr>
        <w:t>.</w:t>
      </w:r>
    </w:p>
    <w:p w14:paraId="2A99F5B9" w14:textId="0EFF94E1" w:rsidR="002D73E6" w:rsidRDefault="005B65A1" w:rsidP="002E58C2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 xml:space="preserve">Ainsi, la conductivité thermique de la laine est </w:t>
      </w:r>
      <w:r w:rsidR="007832BB">
        <w:rPr>
          <w:sz w:val="22"/>
        </w:rPr>
        <w:t>environ</w:t>
      </w:r>
      <w:r w:rsidR="003D3E29">
        <w:rPr>
          <w:sz w:val="22"/>
        </w:rPr>
        <w:t xml:space="preserve"> 1,2 fois plus élevé</w:t>
      </w:r>
      <w:r w:rsidR="000B3CF7">
        <w:rPr>
          <w:sz w:val="22"/>
        </w:rPr>
        <w:t>e</w:t>
      </w:r>
      <w:r w:rsidR="003D3E29">
        <w:rPr>
          <w:sz w:val="22"/>
        </w:rPr>
        <w:t xml:space="preserve"> que celle du matériau de la couverture de survie.</w:t>
      </w:r>
      <w:r w:rsidR="00633043">
        <w:rPr>
          <w:sz w:val="22"/>
        </w:rPr>
        <w:t xml:space="preserve"> </w:t>
      </w:r>
      <w:r w:rsidR="006B4332">
        <w:rPr>
          <w:sz w:val="22"/>
        </w:rPr>
        <w:t>À épaisseur égale,</w:t>
      </w:r>
      <w:r w:rsidR="002D73E6">
        <w:rPr>
          <w:sz w:val="22"/>
        </w:rPr>
        <w:t xml:space="preserve"> une couverture de laine </w:t>
      </w:r>
      <w:r w:rsidR="00E044A2">
        <w:rPr>
          <w:sz w:val="22"/>
        </w:rPr>
        <w:t xml:space="preserve">est donc un peu moins efficace pour </w:t>
      </w:r>
      <w:r w:rsidR="002D73E6">
        <w:rPr>
          <w:sz w:val="22"/>
        </w:rPr>
        <w:t>limite</w:t>
      </w:r>
      <w:r w:rsidR="00E044A2">
        <w:rPr>
          <w:sz w:val="22"/>
        </w:rPr>
        <w:t>r</w:t>
      </w:r>
      <w:r w:rsidR="002D73E6">
        <w:rPr>
          <w:sz w:val="22"/>
        </w:rPr>
        <w:t xml:space="preserve"> les tran</w:t>
      </w:r>
      <w:r w:rsidR="00815F9E">
        <w:rPr>
          <w:sz w:val="22"/>
        </w:rPr>
        <w:t>s</w:t>
      </w:r>
      <w:r w:rsidR="002D73E6">
        <w:rPr>
          <w:sz w:val="22"/>
        </w:rPr>
        <w:t xml:space="preserve">ferts </w:t>
      </w:r>
      <w:r w:rsidR="002D73E6" w:rsidRPr="00F377D3">
        <w:rPr>
          <w:b/>
          <w:bCs/>
          <w:sz w:val="22"/>
        </w:rPr>
        <w:t>pa</w:t>
      </w:r>
      <w:r w:rsidR="00815F9E" w:rsidRPr="00F377D3">
        <w:rPr>
          <w:b/>
          <w:bCs/>
          <w:sz w:val="22"/>
        </w:rPr>
        <w:t>r</w:t>
      </w:r>
      <w:r w:rsidR="002D73E6" w:rsidRPr="00F377D3">
        <w:rPr>
          <w:b/>
          <w:bCs/>
          <w:sz w:val="22"/>
        </w:rPr>
        <w:t xml:space="preserve"> conduction</w:t>
      </w:r>
      <w:r w:rsidR="002D73E6">
        <w:rPr>
          <w:sz w:val="22"/>
        </w:rPr>
        <w:t xml:space="preserve"> qu’une couverture de survie.</w:t>
      </w:r>
    </w:p>
    <w:p w14:paraId="658BAB99" w14:textId="0B7C1EBE" w:rsidR="002D73E6" w:rsidRPr="001F04B7" w:rsidRDefault="002D73E6" w:rsidP="002E58C2">
      <w:pPr>
        <w:pStyle w:val="Paragraphedeliste"/>
        <w:spacing w:line="276" w:lineRule="auto"/>
        <w:ind w:left="0"/>
        <w:jc w:val="both"/>
        <w:rPr>
          <w:i/>
          <w:iCs/>
          <w:color w:val="0000FF"/>
          <w:sz w:val="22"/>
        </w:rPr>
      </w:pPr>
      <w:proofErr w:type="spellStart"/>
      <w:r w:rsidRPr="001F04B7">
        <w:rPr>
          <w:b/>
          <w:bCs/>
          <w:i/>
          <w:iCs/>
          <w:color w:val="0000FF"/>
          <w:sz w:val="22"/>
        </w:rPr>
        <w:t>Rq</w:t>
      </w:r>
      <w:proofErr w:type="spellEnd"/>
      <w:r w:rsidRPr="001F04B7">
        <w:rPr>
          <w:i/>
          <w:iCs/>
          <w:color w:val="0000FF"/>
          <w:sz w:val="22"/>
        </w:rPr>
        <w:t> : l’énoncé parle de conductivité thermique de la couverture</w:t>
      </w:r>
      <w:r w:rsidR="00D84D60" w:rsidRPr="001F04B7">
        <w:rPr>
          <w:i/>
          <w:iCs/>
          <w:color w:val="0000FF"/>
          <w:sz w:val="22"/>
        </w:rPr>
        <w:t xml:space="preserve"> alors qu’il faut parler de la conductivité thermique du matériau qui constitue la couverture.</w:t>
      </w:r>
    </w:p>
    <w:p w14:paraId="1F925A87" w14:textId="77777777" w:rsidR="00D84D60" w:rsidRPr="003A5D3D" w:rsidRDefault="00D84D60" w:rsidP="002E58C2">
      <w:pPr>
        <w:pStyle w:val="Paragraphedeliste"/>
        <w:spacing w:line="276" w:lineRule="auto"/>
        <w:ind w:left="0"/>
        <w:jc w:val="both"/>
        <w:rPr>
          <w:sz w:val="10"/>
          <w:szCs w:val="10"/>
        </w:rPr>
      </w:pPr>
    </w:p>
    <w:p w14:paraId="7B7CB001" w14:textId="361668D5" w:rsidR="00443C84" w:rsidRDefault="00E36C47" w:rsidP="00443C84">
      <w:pPr>
        <w:widowControl w:val="0"/>
        <w:suppressAutoHyphens/>
        <w:spacing w:line="276" w:lineRule="auto"/>
        <w:rPr>
          <w:rFonts w:cs="Arial"/>
          <w:sz w:val="22"/>
        </w:rPr>
      </w:pPr>
      <w:r w:rsidRPr="00B03C34">
        <w:rPr>
          <w:b/>
          <w:bCs/>
          <w:sz w:val="22"/>
        </w:rPr>
        <w:t>Q.4.</w:t>
      </w:r>
      <w:r w:rsidR="009E58C3">
        <w:rPr>
          <w:b/>
          <w:bCs/>
          <w:sz w:val="22"/>
        </w:rPr>
        <w:t xml:space="preserve"> </w:t>
      </w:r>
      <w:r w:rsidR="009E58C3">
        <w:rPr>
          <w:sz w:val="22"/>
        </w:rPr>
        <w:t>D</w:t>
      </w:r>
      <w:r w:rsidR="003C5F12">
        <w:rPr>
          <w:rFonts w:cs="Arial"/>
          <w:sz w:val="22"/>
        </w:rPr>
        <w:t xml:space="preserve">’après la figure 1, la lampe halogène </w:t>
      </w:r>
      <w:r w:rsidR="004512B6">
        <w:rPr>
          <w:rFonts w:cs="Arial"/>
          <w:sz w:val="22"/>
        </w:rPr>
        <w:t>émet majoritairement dans l’infrarouge</w:t>
      </w:r>
      <w:r w:rsidR="00DD4EC4">
        <w:rPr>
          <w:rFonts w:cs="Arial"/>
          <w:sz w:val="22"/>
        </w:rPr>
        <w:t>. L</w:t>
      </w:r>
      <w:r w:rsidR="004512B6">
        <w:rPr>
          <w:rFonts w:cs="Arial"/>
          <w:sz w:val="22"/>
        </w:rPr>
        <w:t xml:space="preserve">e </w:t>
      </w:r>
      <w:r w:rsidR="00DD4EC4">
        <w:rPr>
          <w:rFonts w:cs="Arial"/>
          <w:sz w:val="22"/>
        </w:rPr>
        <w:t xml:space="preserve">rayonnement du </w:t>
      </w:r>
      <w:r w:rsidR="004512B6">
        <w:rPr>
          <w:rFonts w:cs="Arial"/>
          <w:sz w:val="22"/>
        </w:rPr>
        <w:t>corps humain</w:t>
      </w:r>
      <w:r w:rsidR="00DD4EC4">
        <w:rPr>
          <w:rFonts w:cs="Arial"/>
          <w:sz w:val="22"/>
        </w:rPr>
        <w:t xml:space="preserve"> se fait essentiellement dans l’infr</w:t>
      </w:r>
      <w:r w:rsidR="001C6ACB">
        <w:rPr>
          <w:rFonts w:cs="Arial"/>
          <w:sz w:val="22"/>
        </w:rPr>
        <w:t xml:space="preserve">arouge également, d’où l’utilisation d’une lampe halogène pour </w:t>
      </w:r>
      <w:r w:rsidR="00995B34">
        <w:rPr>
          <w:rFonts w:cs="Arial"/>
          <w:sz w:val="22"/>
        </w:rPr>
        <w:t xml:space="preserve">remplacer le corps humain </w:t>
      </w:r>
      <w:r w:rsidR="00443C84">
        <w:rPr>
          <w:rFonts w:cs="Arial"/>
          <w:sz w:val="22"/>
        </w:rPr>
        <w:t>pour l’étude du transfert thermique à travers les couvertures.</w:t>
      </w:r>
    </w:p>
    <w:p w14:paraId="164A96EB" w14:textId="77777777" w:rsidR="00DA5ACC" w:rsidRPr="009E58C3" w:rsidRDefault="00DA5ACC" w:rsidP="00DA5ACC">
      <w:pPr>
        <w:widowControl w:val="0"/>
        <w:suppressAutoHyphens/>
        <w:spacing w:line="276" w:lineRule="auto"/>
        <w:rPr>
          <w:b/>
          <w:bCs/>
          <w:sz w:val="10"/>
          <w:szCs w:val="10"/>
        </w:rPr>
      </w:pPr>
    </w:p>
    <w:p w14:paraId="0F6CBBE6" w14:textId="219D003E" w:rsidR="0037658D" w:rsidRPr="00BE6D87" w:rsidRDefault="00DA5ACC" w:rsidP="00DA5ACC">
      <w:pPr>
        <w:widowControl w:val="0"/>
        <w:suppressAutoHyphens/>
        <w:spacing w:line="276" w:lineRule="auto"/>
        <w:rPr>
          <w:sz w:val="22"/>
        </w:rPr>
      </w:pPr>
      <w:r w:rsidRPr="00B03C34">
        <w:rPr>
          <w:b/>
          <w:bCs/>
          <w:sz w:val="22"/>
        </w:rPr>
        <w:t>Q.</w:t>
      </w:r>
      <w:r>
        <w:rPr>
          <w:b/>
          <w:bCs/>
          <w:sz w:val="22"/>
        </w:rPr>
        <w:t>5</w:t>
      </w:r>
      <w:r w:rsidRPr="00B03C34">
        <w:rPr>
          <w:b/>
          <w:bCs/>
          <w:sz w:val="22"/>
        </w:rPr>
        <w:t>.</w:t>
      </w:r>
      <w:r w:rsidRPr="0037658D">
        <w:rPr>
          <w:sz w:val="22"/>
        </w:rPr>
        <w:t xml:space="preserve"> </w:t>
      </w:r>
      <w:r w:rsidR="0037658D" w:rsidRPr="0037658D">
        <w:rPr>
          <w:sz w:val="22"/>
        </w:rPr>
        <w:t>D’après le premier principe de la thermodynamique</w:t>
      </w:r>
      <w:r w:rsidR="0037658D">
        <w:rPr>
          <w:sz w:val="22"/>
        </w:rPr>
        <w:t xml:space="preserve"> </w:t>
      </w:r>
      <w:r w:rsidR="0037658D">
        <w:rPr>
          <w:rFonts w:ascii="Times New Roman" w:hAnsi="Times New Roman"/>
          <w:sz w:val="22"/>
        </w:rPr>
        <w:t>Δ</w:t>
      </w:r>
      <w:r w:rsidR="0037658D" w:rsidRPr="0037658D">
        <w:rPr>
          <w:i/>
          <w:iCs/>
          <w:sz w:val="22"/>
        </w:rPr>
        <w:t>U</w:t>
      </w:r>
      <w:r w:rsidR="0037658D">
        <w:rPr>
          <w:sz w:val="22"/>
        </w:rPr>
        <w:t xml:space="preserve"> = </w:t>
      </w:r>
      <w:r w:rsidR="0037658D" w:rsidRPr="0037658D">
        <w:rPr>
          <w:i/>
          <w:iCs/>
          <w:sz w:val="22"/>
        </w:rPr>
        <w:t>W</w:t>
      </w:r>
      <w:r w:rsidR="0037658D">
        <w:rPr>
          <w:sz w:val="22"/>
        </w:rPr>
        <w:t xml:space="preserve"> + </w:t>
      </w:r>
      <w:r w:rsidR="0037658D" w:rsidRPr="0037658D">
        <w:rPr>
          <w:i/>
          <w:iCs/>
          <w:sz w:val="22"/>
        </w:rPr>
        <w:t>Q</w:t>
      </w:r>
      <w:r w:rsidR="0037658D">
        <w:rPr>
          <w:sz w:val="22"/>
        </w:rPr>
        <w:t xml:space="preserve">. Comme le système </w:t>
      </w:r>
      <w:r w:rsidR="00BE6D87">
        <w:rPr>
          <w:sz w:val="22"/>
        </w:rPr>
        <w:t xml:space="preserve">n’échange pas d’énergie par travail alors </w:t>
      </w:r>
      <w:r w:rsidR="00BE6D87" w:rsidRPr="00BE6D87">
        <w:rPr>
          <w:i/>
          <w:iCs/>
          <w:sz w:val="22"/>
        </w:rPr>
        <w:t>W</w:t>
      </w:r>
      <w:r w:rsidR="00BE6D87">
        <w:rPr>
          <w:sz w:val="22"/>
        </w:rPr>
        <w:t xml:space="preserve"> = 0 et ainsi </w:t>
      </w:r>
      <w:r w:rsidR="00BE6D87">
        <w:rPr>
          <w:rFonts w:ascii="Times New Roman" w:hAnsi="Times New Roman"/>
          <w:sz w:val="22"/>
        </w:rPr>
        <w:t>Δ</w:t>
      </w:r>
      <w:r w:rsidR="00BE6D87" w:rsidRPr="0037658D">
        <w:rPr>
          <w:i/>
          <w:iCs/>
          <w:sz w:val="22"/>
        </w:rPr>
        <w:t>U</w:t>
      </w:r>
      <w:r w:rsidR="00BE6D87">
        <w:rPr>
          <w:sz w:val="22"/>
        </w:rPr>
        <w:t xml:space="preserve"> = </w:t>
      </w:r>
      <w:r w:rsidR="00BE6D87" w:rsidRPr="0037658D">
        <w:rPr>
          <w:i/>
          <w:iCs/>
          <w:sz w:val="22"/>
        </w:rPr>
        <w:t>Q</w:t>
      </w:r>
      <w:r w:rsidR="00BE6D87">
        <w:rPr>
          <w:sz w:val="22"/>
        </w:rPr>
        <w:t>.</w:t>
      </w:r>
    </w:p>
    <w:p w14:paraId="1EDE83C5" w14:textId="10748D04" w:rsidR="00DA5ACC" w:rsidRPr="000B3CF7" w:rsidRDefault="00BE6D87" w:rsidP="00DA5ACC">
      <w:pPr>
        <w:widowControl w:val="0"/>
        <w:suppressAutoHyphens/>
        <w:spacing w:line="276" w:lineRule="auto"/>
        <w:rPr>
          <w:sz w:val="22"/>
        </w:rPr>
      </w:pPr>
      <w:r>
        <w:rPr>
          <w:rFonts w:cs="Arial"/>
          <w:sz w:val="22"/>
        </w:rPr>
        <w:t xml:space="preserve">On a bien </w:t>
      </w:r>
      <w:r w:rsidR="00DA5ACC" w:rsidRPr="000B3CF7">
        <w:rPr>
          <w:position w:val="-6"/>
          <w:sz w:val="22"/>
        </w:rPr>
        <w:object w:dxaOrig="1740" w:dyaOrig="279" w14:anchorId="641F4673">
          <v:shape id="_x0000_i1031" type="#_x0000_t75" style="width:87pt;height:14.4pt" o:ole="">
            <v:imagedata r:id="rId19" o:title=""/>
          </v:shape>
          <o:OLEObject Type="Embed" ProgID="Equation.DSMT4" ShapeID="_x0000_i1031" DrawAspect="Content" ObjectID="_1786087792" r:id="rId20"/>
        </w:object>
      </w:r>
      <w:r w:rsidR="000B3CF7" w:rsidRPr="000B3CF7">
        <w:rPr>
          <w:sz w:val="22"/>
        </w:rPr>
        <w:t>.</w:t>
      </w:r>
    </w:p>
    <w:p w14:paraId="2A584C2F" w14:textId="00FFF7BB" w:rsidR="000B3CF7" w:rsidRPr="000B3CF7" w:rsidRDefault="000B3CF7" w:rsidP="00DA5ACC">
      <w:pPr>
        <w:widowControl w:val="0"/>
        <w:suppressAutoHyphens/>
        <w:spacing w:line="276" w:lineRule="auto"/>
        <w:rPr>
          <w:rFonts w:cs="Arial"/>
          <w:sz w:val="22"/>
        </w:rPr>
      </w:pPr>
      <w:proofErr w:type="gramStart"/>
      <w:r>
        <w:rPr>
          <w:sz w:val="22"/>
        </w:rPr>
        <w:t>?</w:t>
      </w:r>
      <w:r w:rsidRPr="000B3CF7">
        <w:rPr>
          <w:sz w:val="22"/>
        </w:rPr>
        <w:t>On</w:t>
      </w:r>
      <w:proofErr w:type="gramEnd"/>
      <w:r w:rsidRPr="000B3CF7">
        <w:rPr>
          <w:sz w:val="22"/>
        </w:rPr>
        <w:t xml:space="preserve"> p</w:t>
      </w:r>
      <w:r>
        <w:rPr>
          <w:sz w:val="22"/>
        </w:rPr>
        <w:t>ourrai</w:t>
      </w:r>
      <w:r w:rsidRPr="000B3CF7">
        <w:rPr>
          <w:sz w:val="22"/>
        </w:rPr>
        <w:t xml:space="preserve">t le vérifier par analyse dimensionnelle ? </w:t>
      </w:r>
      <w:r w:rsidRPr="000B3CF7">
        <w:rPr>
          <w:position w:val="-6"/>
          <w:sz w:val="22"/>
        </w:rPr>
        <w:object w:dxaOrig="1140" w:dyaOrig="279" w14:anchorId="51E000C8">
          <v:shape id="_x0000_i1032" type="#_x0000_t75" style="width:57pt;height:14.4pt" o:ole="">
            <v:imagedata r:id="rId21" o:title=""/>
          </v:shape>
          <o:OLEObject Type="Embed" ProgID="Equation.DSMT4" ShapeID="_x0000_i1032" DrawAspect="Content" ObjectID="_1786087793" r:id="rId22"/>
        </w:object>
      </w:r>
      <w:r w:rsidRPr="000B3CF7">
        <w:rPr>
          <w:sz w:val="22"/>
        </w:rPr>
        <w:t xml:space="preserve"> </w:t>
      </w:r>
      <w:r w:rsidRPr="000B3CF7">
        <w:rPr>
          <w:rFonts w:ascii="Cambria Math" w:hAnsi="Cambria Math"/>
          <w:sz w:val="22"/>
        </w:rPr>
        <w:t>⟺</w:t>
      </w:r>
      <w:r w:rsidRPr="000B3CF7">
        <w:rPr>
          <w:sz w:val="22"/>
        </w:rPr>
        <w:t xml:space="preserve"> </w:t>
      </w:r>
      <w:proofErr w:type="spellStart"/>
      <w:r w:rsidRPr="000B3CF7">
        <w:rPr>
          <w:sz w:val="22"/>
        </w:rPr>
        <w:t>kg×J.K</w:t>
      </w:r>
      <w:proofErr w:type="spellEnd"/>
      <w:r w:rsidRPr="000B3CF7">
        <w:rPr>
          <w:sz w:val="22"/>
          <w:vertAlign w:val="superscript"/>
        </w:rPr>
        <w:t>–1</w:t>
      </w:r>
      <w:r w:rsidRPr="000B3CF7">
        <w:rPr>
          <w:sz w:val="22"/>
        </w:rPr>
        <w:t>.kg</w:t>
      </w:r>
      <w:r w:rsidRPr="000B3CF7">
        <w:rPr>
          <w:sz w:val="22"/>
          <w:vertAlign w:val="superscript"/>
        </w:rPr>
        <w:t>-1</w:t>
      </w:r>
      <w:r w:rsidRPr="000B3CF7">
        <w:rPr>
          <w:sz w:val="22"/>
        </w:rPr>
        <w:t>×K = J</w:t>
      </w:r>
      <w:r>
        <w:rPr>
          <w:sz w:val="22"/>
        </w:rPr>
        <w:t xml:space="preserve"> cohérent avec une énergie.</w:t>
      </w:r>
    </w:p>
    <w:p w14:paraId="4A8679CF" w14:textId="25F29BD9" w:rsidR="00A56912" w:rsidRDefault="007F4F1C" w:rsidP="00F673C6">
      <w:pPr>
        <w:ind w:right="-290"/>
        <w:jc w:val="left"/>
        <w:rPr>
          <w:sz w:val="22"/>
        </w:rPr>
      </w:pPr>
      <w:r w:rsidRPr="003E2BC7">
        <w:rPr>
          <w:b/>
          <w:bCs/>
          <w:sz w:val="22"/>
        </w:rPr>
        <w:t xml:space="preserve">Q.6. </w:t>
      </w:r>
      <w:r w:rsidR="002001FB">
        <w:rPr>
          <w:rFonts w:cs="Arial"/>
          <w:sz w:val="22"/>
        </w:rPr>
        <w:t xml:space="preserve">Par définition du flux thermique : </w:t>
      </w:r>
      <w:r w:rsidR="00E763F9" w:rsidRPr="00E763F9">
        <w:rPr>
          <w:position w:val="-24"/>
          <w:sz w:val="22"/>
        </w:rPr>
        <w:object w:dxaOrig="720" w:dyaOrig="620" w14:anchorId="73982479">
          <v:shape id="_x0000_i1033" type="#_x0000_t75" style="width:36pt;height:31.2pt" o:ole="">
            <v:imagedata r:id="rId23" o:title=""/>
          </v:shape>
          <o:OLEObject Type="Embed" ProgID="Equation.DSMT4" ShapeID="_x0000_i1033" DrawAspect="Content" ObjectID="_1786087794" r:id="rId24"/>
        </w:object>
      </w:r>
    </w:p>
    <w:p w14:paraId="61B18D96" w14:textId="2997EBCE" w:rsidR="00322BDE" w:rsidRDefault="009E58C3" w:rsidP="00F673C6">
      <w:pPr>
        <w:ind w:right="-290"/>
        <w:jc w:val="left"/>
        <w:rPr>
          <w:sz w:val="22"/>
        </w:rPr>
      </w:pPr>
      <w:r>
        <w:rPr>
          <w:sz w:val="22"/>
        </w:rPr>
        <w:t>D’après le 1</w:t>
      </w:r>
      <w:r w:rsidRPr="009E58C3">
        <w:rPr>
          <w:sz w:val="22"/>
          <w:vertAlign w:val="superscript"/>
        </w:rPr>
        <w:t>er</w:t>
      </w:r>
      <w:r>
        <w:rPr>
          <w:sz w:val="22"/>
        </w:rPr>
        <w:t xml:space="preserve"> </w:t>
      </w:r>
      <w:r w:rsidR="00C269A9">
        <w:rPr>
          <w:sz w:val="22"/>
        </w:rPr>
        <w:t>principe</w:t>
      </w:r>
      <w:r>
        <w:rPr>
          <w:sz w:val="22"/>
        </w:rPr>
        <w:t xml:space="preserve"> de la thermodynamique</w:t>
      </w:r>
      <w:r w:rsidR="00C269A9">
        <w:rPr>
          <w:sz w:val="22"/>
        </w:rPr>
        <w:t xml:space="preserve"> : </w:t>
      </w:r>
      <w:r w:rsidR="003A23A2">
        <w:rPr>
          <w:rFonts w:ascii="Times New Roman" w:hAnsi="Times New Roman"/>
          <w:sz w:val="22"/>
        </w:rPr>
        <w:t>Δ</w:t>
      </w:r>
      <w:r w:rsidR="003A23A2">
        <w:rPr>
          <w:i/>
          <w:iCs/>
          <w:sz w:val="22"/>
        </w:rPr>
        <w:t>U</w:t>
      </w:r>
      <w:r w:rsidR="003A23A2">
        <w:rPr>
          <w:sz w:val="22"/>
        </w:rPr>
        <w:t xml:space="preserve"> = </w:t>
      </w:r>
      <w:r w:rsidR="003A23A2" w:rsidRPr="003A23A2">
        <w:rPr>
          <w:i/>
          <w:iCs/>
          <w:sz w:val="22"/>
        </w:rPr>
        <w:t>W</w:t>
      </w:r>
      <w:r w:rsidR="003A23A2">
        <w:rPr>
          <w:sz w:val="22"/>
        </w:rPr>
        <w:t xml:space="preserve"> + </w:t>
      </w:r>
      <w:r w:rsidR="003A23A2" w:rsidRPr="003A23A2">
        <w:rPr>
          <w:i/>
          <w:iCs/>
          <w:sz w:val="22"/>
        </w:rPr>
        <w:t>Q</w:t>
      </w:r>
      <w:r w:rsidR="003A23A2">
        <w:rPr>
          <w:sz w:val="22"/>
        </w:rPr>
        <w:t>.</w:t>
      </w:r>
    </w:p>
    <w:p w14:paraId="1D2D8460" w14:textId="216FF595" w:rsidR="003A23A2" w:rsidRPr="003A23A2" w:rsidRDefault="003A23A2" w:rsidP="00F673C6">
      <w:pPr>
        <w:ind w:right="-290"/>
        <w:jc w:val="left"/>
        <w:rPr>
          <w:i/>
          <w:iCs/>
          <w:sz w:val="22"/>
        </w:rPr>
      </w:pPr>
      <w:r>
        <w:rPr>
          <w:sz w:val="22"/>
        </w:rPr>
        <w:t xml:space="preserve">Le système n’échange pas de travail avec le milieu extérieur </w:t>
      </w:r>
      <w:r w:rsidRPr="003A23A2">
        <w:rPr>
          <w:i/>
          <w:iCs/>
          <w:sz w:val="22"/>
        </w:rPr>
        <w:t>W</w:t>
      </w:r>
      <w:r>
        <w:rPr>
          <w:sz w:val="22"/>
        </w:rPr>
        <w:t xml:space="preserve"> = 0, ainsi </w:t>
      </w:r>
      <w:r>
        <w:rPr>
          <w:rFonts w:ascii="Times New Roman" w:hAnsi="Times New Roman"/>
          <w:sz w:val="22"/>
        </w:rPr>
        <w:t>Δ</w:t>
      </w:r>
      <w:r>
        <w:rPr>
          <w:i/>
          <w:iCs/>
          <w:sz w:val="22"/>
        </w:rPr>
        <w:t>U</w:t>
      </w:r>
      <w:r>
        <w:rPr>
          <w:sz w:val="22"/>
        </w:rPr>
        <w:t xml:space="preserve"> = Q = </w:t>
      </w:r>
      <w:proofErr w:type="spellStart"/>
      <w:r>
        <w:rPr>
          <w:i/>
          <w:iCs/>
          <w:sz w:val="22"/>
        </w:rPr>
        <w:t>m</w:t>
      </w:r>
      <w:r>
        <w:rPr>
          <w:sz w:val="22"/>
        </w:rPr>
        <w:t>×</w:t>
      </w:r>
      <w:r w:rsidRPr="003A23A2">
        <w:rPr>
          <w:i/>
          <w:iCs/>
          <w:sz w:val="22"/>
        </w:rPr>
        <w:t>c</w:t>
      </w:r>
      <w:r>
        <w:rPr>
          <w:i/>
          <w:iCs/>
          <w:sz w:val="22"/>
        </w:rPr>
        <w:t>×</w:t>
      </w:r>
      <w:r w:rsidRPr="003A23A2">
        <w:rPr>
          <w:rFonts w:ascii="Times New Roman" w:hAnsi="Times New Roman"/>
          <w:sz w:val="22"/>
        </w:rPr>
        <w:t>Δ</w:t>
      </w:r>
      <w:r w:rsidRPr="003A23A2">
        <w:rPr>
          <w:rFonts w:cs="Arial"/>
          <w:i/>
          <w:iCs/>
          <w:sz w:val="22"/>
        </w:rPr>
        <w:t>T</w:t>
      </w:r>
      <w:proofErr w:type="spellEnd"/>
    </w:p>
    <w:p w14:paraId="6033D703" w14:textId="251416E3" w:rsidR="003A23A2" w:rsidRDefault="007819D7" w:rsidP="00F673C6">
      <w:pPr>
        <w:ind w:right="-290"/>
        <w:jc w:val="left"/>
        <w:rPr>
          <w:sz w:val="22"/>
        </w:rPr>
      </w:pPr>
      <w:r w:rsidRPr="008C2C9D">
        <w:rPr>
          <w:position w:val="-24"/>
          <w:sz w:val="22"/>
        </w:rPr>
        <w:object w:dxaOrig="2900" w:dyaOrig="620" w14:anchorId="5CCC089E">
          <v:shape id="_x0000_i1034" type="#_x0000_t75" style="width:145.2pt;height:31.8pt" o:ole="">
            <v:imagedata r:id="rId25" o:title=""/>
          </v:shape>
          <o:OLEObject Type="Embed" ProgID="Equation.DSMT4" ShapeID="_x0000_i1034" DrawAspect="Content" ObjectID="_1786087795" r:id="rId26"/>
        </w:object>
      </w:r>
    </w:p>
    <w:p w14:paraId="6CC808BE" w14:textId="77777777" w:rsidR="003A54D3" w:rsidRDefault="00871D82" w:rsidP="00F673C6">
      <w:pPr>
        <w:ind w:right="-290"/>
        <w:jc w:val="left"/>
        <w:rPr>
          <w:sz w:val="22"/>
        </w:rPr>
      </w:pPr>
      <w:r w:rsidRPr="003E2BC7">
        <w:rPr>
          <w:b/>
          <w:bCs/>
          <w:sz w:val="22"/>
        </w:rPr>
        <w:t xml:space="preserve">Q.7. </w:t>
      </w:r>
      <w:r w:rsidR="00200F8E">
        <w:rPr>
          <w:rFonts w:cs="Arial"/>
          <w:sz w:val="22"/>
        </w:rPr>
        <w:t xml:space="preserve">En utilisant les valeurs de </w:t>
      </w:r>
      <w:r w:rsidR="003A54D3" w:rsidRPr="00E763F9">
        <w:rPr>
          <w:position w:val="-24"/>
          <w:sz w:val="22"/>
        </w:rPr>
        <w:object w:dxaOrig="440" w:dyaOrig="620" w14:anchorId="27B2DD69">
          <v:shape id="_x0000_i1035" type="#_x0000_t75" style="width:22.2pt;height:31.2pt" o:ole="">
            <v:imagedata r:id="rId27" o:title=""/>
          </v:shape>
          <o:OLEObject Type="Embed" ProgID="Equation.DSMT4" ShapeID="_x0000_i1035" DrawAspect="Content" ObjectID="_1786087796" r:id="rId28"/>
        </w:object>
      </w:r>
      <w:r w:rsidR="003A54D3">
        <w:rPr>
          <w:sz w:val="22"/>
        </w:rPr>
        <w:t>de la figure 4 :</w:t>
      </w:r>
    </w:p>
    <w:p w14:paraId="3CAE4D76" w14:textId="1A11D3C8" w:rsidR="003058CE" w:rsidRDefault="003058CE" w:rsidP="00F673C6">
      <w:pPr>
        <w:ind w:right="-290"/>
        <w:jc w:val="left"/>
        <w:rPr>
          <w:sz w:val="22"/>
        </w:rPr>
      </w:pPr>
      <w:r>
        <w:rPr>
          <w:sz w:val="22"/>
        </w:rPr>
        <w:t>Avec la couverture de survie :</w:t>
      </w:r>
      <w:r w:rsidR="001F04B7" w:rsidRPr="00DB5D45">
        <w:rPr>
          <w:position w:val="-12"/>
          <w:sz w:val="22"/>
        </w:rPr>
        <w:object w:dxaOrig="4720" w:dyaOrig="380" w14:anchorId="05DE6BE8">
          <v:shape id="_x0000_i1036" type="#_x0000_t75" style="width:236.4pt;height:19.8pt" o:ole="">
            <v:imagedata r:id="rId29" o:title=""/>
          </v:shape>
          <o:OLEObject Type="Embed" ProgID="Equation.DSMT4" ShapeID="_x0000_i1036" DrawAspect="Content" ObjectID="_1786087797" r:id="rId30"/>
        </w:object>
      </w:r>
    </w:p>
    <w:p w14:paraId="62F9A61C" w14:textId="25DB64BF" w:rsidR="003058CE" w:rsidRDefault="003058CE" w:rsidP="003058CE">
      <w:pPr>
        <w:ind w:right="-290"/>
        <w:jc w:val="left"/>
        <w:rPr>
          <w:sz w:val="22"/>
        </w:rPr>
      </w:pPr>
      <w:r>
        <w:rPr>
          <w:sz w:val="22"/>
        </w:rPr>
        <w:t>Avec la couverture en laine :</w:t>
      </w:r>
      <w:r w:rsidR="001A7CF9" w:rsidRPr="00DB5D45">
        <w:rPr>
          <w:position w:val="-12"/>
          <w:sz w:val="22"/>
        </w:rPr>
        <w:object w:dxaOrig="4540" w:dyaOrig="380" w14:anchorId="5BF50CD1">
          <v:shape id="_x0000_i1037" type="#_x0000_t75" style="width:226.8pt;height:19.8pt" o:ole="">
            <v:imagedata r:id="rId31" o:title=""/>
          </v:shape>
          <o:OLEObject Type="Embed" ProgID="Equation.DSMT4" ShapeID="_x0000_i1037" DrawAspect="Content" ObjectID="_1786087798" r:id="rId32"/>
        </w:object>
      </w:r>
    </w:p>
    <w:p w14:paraId="1DD65FBA" w14:textId="4B0D8BD1" w:rsidR="00C92D69" w:rsidRDefault="00C92D69" w:rsidP="006A0CBF">
      <w:pPr>
        <w:spacing w:line="276" w:lineRule="auto"/>
        <w:ind w:right="-290"/>
        <w:jc w:val="left"/>
        <w:rPr>
          <w:sz w:val="22"/>
        </w:rPr>
      </w:pPr>
      <w:r w:rsidRPr="00177609">
        <w:rPr>
          <w:b/>
          <w:bCs/>
          <w:sz w:val="22"/>
        </w:rPr>
        <w:t>Conclusion</w:t>
      </w:r>
      <w:r>
        <w:rPr>
          <w:sz w:val="22"/>
        </w:rPr>
        <w:t> : le flux thermique est environ trois fois plus faible avec</w:t>
      </w:r>
      <w:r w:rsidR="0090059F">
        <w:rPr>
          <w:sz w:val="22"/>
        </w:rPr>
        <w:t xml:space="preserve"> la couverture de survie que celle en laine.</w:t>
      </w:r>
    </w:p>
    <w:p w14:paraId="45EBE1C3" w14:textId="77777777" w:rsidR="006A0CBF" w:rsidRPr="001F04B7" w:rsidRDefault="006A0CBF" w:rsidP="006A0CBF">
      <w:pPr>
        <w:spacing w:line="276" w:lineRule="auto"/>
        <w:ind w:right="-290"/>
        <w:jc w:val="left"/>
        <w:rPr>
          <w:i/>
          <w:iCs/>
          <w:color w:val="0070C0"/>
          <w:sz w:val="22"/>
        </w:rPr>
      </w:pPr>
      <w:proofErr w:type="spellStart"/>
      <w:r w:rsidRPr="001F04B7">
        <w:rPr>
          <w:b/>
          <w:bCs/>
          <w:i/>
          <w:iCs/>
          <w:color w:val="0070C0"/>
          <w:sz w:val="22"/>
        </w:rPr>
        <w:t>Rq</w:t>
      </w:r>
      <w:proofErr w:type="spellEnd"/>
      <w:r w:rsidRPr="001F04B7">
        <w:rPr>
          <w:i/>
          <w:iCs/>
          <w:color w:val="0070C0"/>
          <w:sz w:val="22"/>
        </w:rPr>
        <w:t> : sans calculer les flux thermiques, on pouvait dire que l’élévation de température par seconde est environ trois fois plus faible pour la couverture de survie et conclure.</w:t>
      </w:r>
    </w:p>
    <w:p w14:paraId="4EBC79E8" w14:textId="77777777" w:rsidR="006A0CBF" w:rsidRPr="006A0CBF" w:rsidRDefault="006A0CBF" w:rsidP="006A0CBF">
      <w:pPr>
        <w:spacing w:line="276" w:lineRule="auto"/>
        <w:ind w:right="-290"/>
        <w:jc w:val="left"/>
        <w:rPr>
          <w:sz w:val="10"/>
          <w:szCs w:val="10"/>
        </w:rPr>
      </w:pPr>
    </w:p>
    <w:p w14:paraId="29C4FF4B" w14:textId="53A8FCD9" w:rsidR="001F04B7" w:rsidRDefault="0090059F" w:rsidP="00E81B7F">
      <w:pPr>
        <w:spacing w:line="276" w:lineRule="auto"/>
        <w:ind w:right="-290"/>
        <w:rPr>
          <w:sz w:val="22"/>
        </w:rPr>
      </w:pPr>
      <w:r>
        <w:rPr>
          <w:sz w:val="22"/>
        </w:rPr>
        <w:t xml:space="preserve">On en déduit que la couverture de survie a été plus efficace pour </w:t>
      </w:r>
      <w:r w:rsidR="00AE1B84">
        <w:rPr>
          <w:sz w:val="22"/>
        </w:rPr>
        <w:t>« </w:t>
      </w:r>
      <w:r>
        <w:rPr>
          <w:sz w:val="22"/>
        </w:rPr>
        <w:t>protéger</w:t>
      </w:r>
      <w:r w:rsidR="00AE1B84">
        <w:rPr>
          <w:sz w:val="22"/>
        </w:rPr>
        <w:t> » la plaque de liège du rayonnement émis par la lampe halogène.</w:t>
      </w:r>
    </w:p>
    <w:p w14:paraId="7F0BFA5B" w14:textId="771AA140" w:rsidR="00293E75" w:rsidRPr="006A0CBF" w:rsidRDefault="001F04B7" w:rsidP="00E81B7F">
      <w:pPr>
        <w:spacing w:line="276" w:lineRule="auto"/>
        <w:ind w:right="-290"/>
        <w:rPr>
          <w:sz w:val="22"/>
        </w:rPr>
      </w:pPr>
      <w:r>
        <w:rPr>
          <w:sz w:val="22"/>
        </w:rPr>
        <w:t xml:space="preserve">La lampe halogène modélisant ici le corps humain, </w:t>
      </w:r>
      <w:r w:rsidR="006A0CBF">
        <w:rPr>
          <w:sz w:val="22"/>
        </w:rPr>
        <w:t>la couverture de survie est plus efficace que la couverture en laine pour retenir la chaleur corporelle.</w:t>
      </w:r>
    </w:p>
    <w:sectPr w:rsidR="00293E75" w:rsidRPr="006A0CBF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fontKey="{392B775C-A6CE-4E63-A63A-EE9D07B9CE9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81406">
    <w:abstractNumId w:val="1"/>
  </w:num>
  <w:num w:numId="2" w16cid:durableId="395400405">
    <w:abstractNumId w:val="3"/>
  </w:num>
  <w:num w:numId="3" w16cid:durableId="1457483225">
    <w:abstractNumId w:val="4"/>
  </w:num>
  <w:num w:numId="4" w16cid:durableId="1002587619">
    <w:abstractNumId w:val="2"/>
  </w:num>
  <w:num w:numId="5" w16cid:durableId="15467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A7723"/>
    <w:rsid w:val="000B3CF7"/>
    <w:rsid w:val="000C7197"/>
    <w:rsid w:val="000D24E0"/>
    <w:rsid w:val="000D33A9"/>
    <w:rsid w:val="000E51A4"/>
    <w:rsid w:val="000E6090"/>
    <w:rsid w:val="000F3FB2"/>
    <w:rsid w:val="000F70FE"/>
    <w:rsid w:val="001013B2"/>
    <w:rsid w:val="00103E78"/>
    <w:rsid w:val="0010425B"/>
    <w:rsid w:val="00104E94"/>
    <w:rsid w:val="001121CC"/>
    <w:rsid w:val="00112A8B"/>
    <w:rsid w:val="00117032"/>
    <w:rsid w:val="00117933"/>
    <w:rsid w:val="00117C3D"/>
    <w:rsid w:val="001257DA"/>
    <w:rsid w:val="00127733"/>
    <w:rsid w:val="00136E1B"/>
    <w:rsid w:val="0014110D"/>
    <w:rsid w:val="00153305"/>
    <w:rsid w:val="0015517A"/>
    <w:rsid w:val="001601A1"/>
    <w:rsid w:val="00167682"/>
    <w:rsid w:val="00177609"/>
    <w:rsid w:val="001838A3"/>
    <w:rsid w:val="001865DF"/>
    <w:rsid w:val="00186E88"/>
    <w:rsid w:val="001944FB"/>
    <w:rsid w:val="001A27D3"/>
    <w:rsid w:val="001A67BA"/>
    <w:rsid w:val="001A7CF9"/>
    <w:rsid w:val="001B5C3C"/>
    <w:rsid w:val="001C1790"/>
    <w:rsid w:val="001C6ACB"/>
    <w:rsid w:val="001D0326"/>
    <w:rsid w:val="001F04B7"/>
    <w:rsid w:val="001F3763"/>
    <w:rsid w:val="001F393F"/>
    <w:rsid w:val="002001FB"/>
    <w:rsid w:val="00200F8E"/>
    <w:rsid w:val="002022A8"/>
    <w:rsid w:val="00203188"/>
    <w:rsid w:val="00204676"/>
    <w:rsid w:val="00205586"/>
    <w:rsid w:val="0021020E"/>
    <w:rsid w:val="0021216B"/>
    <w:rsid w:val="00216ACE"/>
    <w:rsid w:val="00232BD9"/>
    <w:rsid w:val="002351CD"/>
    <w:rsid w:val="00236E0D"/>
    <w:rsid w:val="002773CC"/>
    <w:rsid w:val="00280229"/>
    <w:rsid w:val="00281EA9"/>
    <w:rsid w:val="00282560"/>
    <w:rsid w:val="00290B46"/>
    <w:rsid w:val="00292F42"/>
    <w:rsid w:val="00293E75"/>
    <w:rsid w:val="002958F8"/>
    <w:rsid w:val="002A01CB"/>
    <w:rsid w:val="002A3B3A"/>
    <w:rsid w:val="002A3DA0"/>
    <w:rsid w:val="002B06C6"/>
    <w:rsid w:val="002B295B"/>
    <w:rsid w:val="002C1B79"/>
    <w:rsid w:val="002C4738"/>
    <w:rsid w:val="002D0A76"/>
    <w:rsid w:val="002D42AA"/>
    <w:rsid w:val="002D7213"/>
    <w:rsid w:val="002D73E6"/>
    <w:rsid w:val="002D752C"/>
    <w:rsid w:val="002E29DF"/>
    <w:rsid w:val="002E40EC"/>
    <w:rsid w:val="002E58C2"/>
    <w:rsid w:val="002E7313"/>
    <w:rsid w:val="002F0D6D"/>
    <w:rsid w:val="002F4162"/>
    <w:rsid w:val="002F53A7"/>
    <w:rsid w:val="0030164E"/>
    <w:rsid w:val="003058CE"/>
    <w:rsid w:val="00306FD2"/>
    <w:rsid w:val="00317D99"/>
    <w:rsid w:val="00322BDE"/>
    <w:rsid w:val="00327318"/>
    <w:rsid w:val="00336093"/>
    <w:rsid w:val="003415B3"/>
    <w:rsid w:val="00345D3C"/>
    <w:rsid w:val="00356325"/>
    <w:rsid w:val="00371AD4"/>
    <w:rsid w:val="0037658D"/>
    <w:rsid w:val="00382288"/>
    <w:rsid w:val="00382553"/>
    <w:rsid w:val="00397CA5"/>
    <w:rsid w:val="003A197A"/>
    <w:rsid w:val="003A23A2"/>
    <w:rsid w:val="003A4DE4"/>
    <w:rsid w:val="003A54D3"/>
    <w:rsid w:val="003A5D3D"/>
    <w:rsid w:val="003B05DB"/>
    <w:rsid w:val="003B30B0"/>
    <w:rsid w:val="003C0BEE"/>
    <w:rsid w:val="003C5F12"/>
    <w:rsid w:val="003C7502"/>
    <w:rsid w:val="003C7D05"/>
    <w:rsid w:val="003D2D7E"/>
    <w:rsid w:val="003D3E29"/>
    <w:rsid w:val="003E1929"/>
    <w:rsid w:val="003E2BC7"/>
    <w:rsid w:val="003E316C"/>
    <w:rsid w:val="003E3E63"/>
    <w:rsid w:val="00403585"/>
    <w:rsid w:val="00405287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348FF"/>
    <w:rsid w:val="004415BC"/>
    <w:rsid w:val="0044291B"/>
    <w:rsid w:val="00442F35"/>
    <w:rsid w:val="004430CF"/>
    <w:rsid w:val="00443C84"/>
    <w:rsid w:val="004468F1"/>
    <w:rsid w:val="004512B6"/>
    <w:rsid w:val="0045319B"/>
    <w:rsid w:val="004545F0"/>
    <w:rsid w:val="0046312A"/>
    <w:rsid w:val="00470CB7"/>
    <w:rsid w:val="00477C27"/>
    <w:rsid w:val="004809D2"/>
    <w:rsid w:val="004846FC"/>
    <w:rsid w:val="00494336"/>
    <w:rsid w:val="00495457"/>
    <w:rsid w:val="00495621"/>
    <w:rsid w:val="004A5574"/>
    <w:rsid w:val="004B266A"/>
    <w:rsid w:val="004C02A3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501213"/>
    <w:rsid w:val="005127E3"/>
    <w:rsid w:val="005152AA"/>
    <w:rsid w:val="00515516"/>
    <w:rsid w:val="00515601"/>
    <w:rsid w:val="005303F6"/>
    <w:rsid w:val="00532F94"/>
    <w:rsid w:val="00535395"/>
    <w:rsid w:val="00540171"/>
    <w:rsid w:val="005438E0"/>
    <w:rsid w:val="00552F69"/>
    <w:rsid w:val="0057214E"/>
    <w:rsid w:val="00584B5C"/>
    <w:rsid w:val="005855EE"/>
    <w:rsid w:val="00585F9E"/>
    <w:rsid w:val="00594277"/>
    <w:rsid w:val="0059619F"/>
    <w:rsid w:val="005A6DE5"/>
    <w:rsid w:val="005B0BE2"/>
    <w:rsid w:val="005B5347"/>
    <w:rsid w:val="005B65A1"/>
    <w:rsid w:val="005C061A"/>
    <w:rsid w:val="005C1432"/>
    <w:rsid w:val="005C60F2"/>
    <w:rsid w:val="005C70E5"/>
    <w:rsid w:val="005D4FA3"/>
    <w:rsid w:val="005E05DF"/>
    <w:rsid w:val="005F0488"/>
    <w:rsid w:val="005F78C3"/>
    <w:rsid w:val="00630D66"/>
    <w:rsid w:val="006326D7"/>
    <w:rsid w:val="00633043"/>
    <w:rsid w:val="0064675F"/>
    <w:rsid w:val="00655880"/>
    <w:rsid w:val="00657F15"/>
    <w:rsid w:val="00662655"/>
    <w:rsid w:val="0067659A"/>
    <w:rsid w:val="00683F7E"/>
    <w:rsid w:val="0068780F"/>
    <w:rsid w:val="006915DD"/>
    <w:rsid w:val="006A0CBF"/>
    <w:rsid w:val="006A36CD"/>
    <w:rsid w:val="006A410E"/>
    <w:rsid w:val="006A6978"/>
    <w:rsid w:val="006B4332"/>
    <w:rsid w:val="006B55CC"/>
    <w:rsid w:val="006B773F"/>
    <w:rsid w:val="006B7FD6"/>
    <w:rsid w:val="006C0604"/>
    <w:rsid w:val="006C42E1"/>
    <w:rsid w:val="006C6922"/>
    <w:rsid w:val="006D2A87"/>
    <w:rsid w:val="006D4766"/>
    <w:rsid w:val="006D4BC7"/>
    <w:rsid w:val="006E0A84"/>
    <w:rsid w:val="006E0DC8"/>
    <w:rsid w:val="007014BA"/>
    <w:rsid w:val="00705A84"/>
    <w:rsid w:val="00705BD5"/>
    <w:rsid w:val="00707508"/>
    <w:rsid w:val="00715F95"/>
    <w:rsid w:val="00727955"/>
    <w:rsid w:val="00730E29"/>
    <w:rsid w:val="007342D3"/>
    <w:rsid w:val="007379A7"/>
    <w:rsid w:val="0074226E"/>
    <w:rsid w:val="00753F15"/>
    <w:rsid w:val="00761EEC"/>
    <w:rsid w:val="00762DF4"/>
    <w:rsid w:val="00764152"/>
    <w:rsid w:val="00766F90"/>
    <w:rsid w:val="00770639"/>
    <w:rsid w:val="00772B5A"/>
    <w:rsid w:val="007819D7"/>
    <w:rsid w:val="007832BB"/>
    <w:rsid w:val="00790486"/>
    <w:rsid w:val="00792781"/>
    <w:rsid w:val="007A0C63"/>
    <w:rsid w:val="007A119B"/>
    <w:rsid w:val="007A4C7A"/>
    <w:rsid w:val="007C19EE"/>
    <w:rsid w:val="007D14A5"/>
    <w:rsid w:val="007D56A5"/>
    <w:rsid w:val="007D6B13"/>
    <w:rsid w:val="007E12A5"/>
    <w:rsid w:val="007E3F1E"/>
    <w:rsid w:val="007E5A01"/>
    <w:rsid w:val="007E6004"/>
    <w:rsid w:val="007F4F1C"/>
    <w:rsid w:val="007F5313"/>
    <w:rsid w:val="007F5FF2"/>
    <w:rsid w:val="008008F8"/>
    <w:rsid w:val="0080479C"/>
    <w:rsid w:val="00812DC3"/>
    <w:rsid w:val="00814A0D"/>
    <w:rsid w:val="00815F9E"/>
    <w:rsid w:val="0083354F"/>
    <w:rsid w:val="0084644D"/>
    <w:rsid w:val="008567C8"/>
    <w:rsid w:val="008614D8"/>
    <w:rsid w:val="00870978"/>
    <w:rsid w:val="00871D82"/>
    <w:rsid w:val="00874167"/>
    <w:rsid w:val="0088136B"/>
    <w:rsid w:val="008931BB"/>
    <w:rsid w:val="00893CB9"/>
    <w:rsid w:val="008A63E3"/>
    <w:rsid w:val="008B5726"/>
    <w:rsid w:val="008C0FCD"/>
    <w:rsid w:val="008C2C9D"/>
    <w:rsid w:val="008C5EDE"/>
    <w:rsid w:val="008D653C"/>
    <w:rsid w:val="008E1C32"/>
    <w:rsid w:val="008E5B1B"/>
    <w:rsid w:val="008E7ED2"/>
    <w:rsid w:val="008F1ADD"/>
    <w:rsid w:val="0090059F"/>
    <w:rsid w:val="00902983"/>
    <w:rsid w:val="0090520D"/>
    <w:rsid w:val="00910DA9"/>
    <w:rsid w:val="00911300"/>
    <w:rsid w:val="00911643"/>
    <w:rsid w:val="00930B16"/>
    <w:rsid w:val="00933179"/>
    <w:rsid w:val="00934E89"/>
    <w:rsid w:val="00937249"/>
    <w:rsid w:val="009443CC"/>
    <w:rsid w:val="009451A0"/>
    <w:rsid w:val="00952060"/>
    <w:rsid w:val="00953E04"/>
    <w:rsid w:val="00954E50"/>
    <w:rsid w:val="00970F55"/>
    <w:rsid w:val="0098073F"/>
    <w:rsid w:val="00980808"/>
    <w:rsid w:val="00985BBF"/>
    <w:rsid w:val="00986F51"/>
    <w:rsid w:val="00995B34"/>
    <w:rsid w:val="009A0D36"/>
    <w:rsid w:val="009A4981"/>
    <w:rsid w:val="009A4D45"/>
    <w:rsid w:val="009C1457"/>
    <w:rsid w:val="009C3F43"/>
    <w:rsid w:val="009D556B"/>
    <w:rsid w:val="009E29EA"/>
    <w:rsid w:val="009E58C3"/>
    <w:rsid w:val="009E7E24"/>
    <w:rsid w:val="009F38B1"/>
    <w:rsid w:val="00A10686"/>
    <w:rsid w:val="00A13FB0"/>
    <w:rsid w:val="00A317FB"/>
    <w:rsid w:val="00A3453B"/>
    <w:rsid w:val="00A35EA1"/>
    <w:rsid w:val="00A44907"/>
    <w:rsid w:val="00A46963"/>
    <w:rsid w:val="00A56912"/>
    <w:rsid w:val="00A579E5"/>
    <w:rsid w:val="00A579FF"/>
    <w:rsid w:val="00A71013"/>
    <w:rsid w:val="00A81A19"/>
    <w:rsid w:val="00A87234"/>
    <w:rsid w:val="00A948FF"/>
    <w:rsid w:val="00A96E77"/>
    <w:rsid w:val="00AA012C"/>
    <w:rsid w:val="00AA0565"/>
    <w:rsid w:val="00AA1A61"/>
    <w:rsid w:val="00AA3BEE"/>
    <w:rsid w:val="00AB2C4A"/>
    <w:rsid w:val="00AB7092"/>
    <w:rsid w:val="00AC6FE1"/>
    <w:rsid w:val="00AE152F"/>
    <w:rsid w:val="00AE1B84"/>
    <w:rsid w:val="00AE635F"/>
    <w:rsid w:val="00AF1BED"/>
    <w:rsid w:val="00B03C34"/>
    <w:rsid w:val="00B12DD8"/>
    <w:rsid w:val="00B21A0F"/>
    <w:rsid w:val="00B26DBF"/>
    <w:rsid w:val="00B3199D"/>
    <w:rsid w:val="00B32A06"/>
    <w:rsid w:val="00B33C28"/>
    <w:rsid w:val="00B3429C"/>
    <w:rsid w:val="00B34815"/>
    <w:rsid w:val="00B3715C"/>
    <w:rsid w:val="00B45E2E"/>
    <w:rsid w:val="00B47352"/>
    <w:rsid w:val="00B507E8"/>
    <w:rsid w:val="00B553B7"/>
    <w:rsid w:val="00B57D96"/>
    <w:rsid w:val="00B63C97"/>
    <w:rsid w:val="00B645A5"/>
    <w:rsid w:val="00B676A9"/>
    <w:rsid w:val="00B702E2"/>
    <w:rsid w:val="00B731C7"/>
    <w:rsid w:val="00B73635"/>
    <w:rsid w:val="00B7509B"/>
    <w:rsid w:val="00B75CF0"/>
    <w:rsid w:val="00B807DB"/>
    <w:rsid w:val="00B90694"/>
    <w:rsid w:val="00B92625"/>
    <w:rsid w:val="00BA22ED"/>
    <w:rsid w:val="00BA39F9"/>
    <w:rsid w:val="00BA5CA7"/>
    <w:rsid w:val="00BB0C92"/>
    <w:rsid w:val="00BD18EA"/>
    <w:rsid w:val="00BD7DC5"/>
    <w:rsid w:val="00BE0C9F"/>
    <w:rsid w:val="00BE6D87"/>
    <w:rsid w:val="00BF0832"/>
    <w:rsid w:val="00BF1CF3"/>
    <w:rsid w:val="00BF1DAE"/>
    <w:rsid w:val="00BF2689"/>
    <w:rsid w:val="00BF2CB9"/>
    <w:rsid w:val="00C01B49"/>
    <w:rsid w:val="00C025E5"/>
    <w:rsid w:val="00C02ED5"/>
    <w:rsid w:val="00C04BB3"/>
    <w:rsid w:val="00C15810"/>
    <w:rsid w:val="00C2665E"/>
    <w:rsid w:val="00C269A9"/>
    <w:rsid w:val="00C46C4F"/>
    <w:rsid w:val="00C4788F"/>
    <w:rsid w:val="00C53560"/>
    <w:rsid w:val="00C56BDD"/>
    <w:rsid w:val="00C62B5A"/>
    <w:rsid w:val="00C71E1F"/>
    <w:rsid w:val="00C77E1F"/>
    <w:rsid w:val="00C9205F"/>
    <w:rsid w:val="00C927E0"/>
    <w:rsid w:val="00C92D69"/>
    <w:rsid w:val="00C93E5C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508A"/>
    <w:rsid w:val="00CE6CAA"/>
    <w:rsid w:val="00CE70CE"/>
    <w:rsid w:val="00CE7784"/>
    <w:rsid w:val="00CF24D5"/>
    <w:rsid w:val="00D12CD8"/>
    <w:rsid w:val="00D13028"/>
    <w:rsid w:val="00D17BE7"/>
    <w:rsid w:val="00D17D85"/>
    <w:rsid w:val="00D22604"/>
    <w:rsid w:val="00D230E9"/>
    <w:rsid w:val="00D23E6E"/>
    <w:rsid w:val="00D26456"/>
    <w:rsid w:val="00D3100F"/>
    <w:rsid w:val="00D34A24"/>
    <w:rsid w:val="00D3658D"/>
    <w:rsid w:val="00D40E6E"/>
    <w:rsid w:val="00D41EA6"/>
    <w:rsid w:val="00D461E7"/>
    <w:rsid w:val="00D46AC7"/>
    <w:rsid w:val="00D52637"/>
    <w:rsid w:val="00D548B8"/>
    <w:rsid w:val="00D56656"/>
    <w:rsid w:val="00D61803"/>
    <w:rsid w:val="00D64F5C"/>
    <w:rsid w:val="00D67FD5"/>
    <w:rsid w:val="00D71007"/>
    <w:rsid w:val="00D71B29"/>
    <w:rsid w:val="00D84D60"/>
    <w:rsid w:val="00D942D0"/>
    <w:rsid w:val="00DA0531"/>
    <w:rsid w:val="00DA5ACC"/>
    <w:rsid w:val="00DA7616"/>
    <w:rsid w:val="00DA7B32"/>
    <w:rsid w:val="00DA7BA0"/>
    <w:rsid w:val="00DB2B0C"/>
    <w:rsid w:val="00DB5D45"/>
    <w:rsid w:val="00DD4EC4"/>
    <w:rsid w:val="00DD5759"/>
    <w:rsid w:val="00DD60FD"/>
    <w:rsid w:val="00DE3772"/>
    <w:rsid w:val="00DE3F2C"/>
    <w:rsid w:val="00DE5E44"/>
    <w:rsid w:val="00DE7AAD"/>
    <w:rsid w:val="00DF4065"/>
    <w:rsid w:val="00E00297"/>
    <w:rsid w:val="00E02B62"/>
    <w:rsid w:val="00E03F15"/>
    <w:rsid w:val="00E042C1"/>
    <w:rsid w:val="00E044A2"/>
    <w:rsid w:val="00E22871"/>
    <w:rsid w:val="00E24D08"/>
    <w:rsid w:val="00E267CF"/>
    <w:rsid w:val="00E31177"/>
    <w:rsid w:val="00E330C7"/>
    <w:rsid w:val="00E35B22"/>
    <w:rsid w:val="00E36C47"/>
    <w:rsid w:val="00E374FA"/>
    <w:rsid w:val="00E47E00"/>
    <w:rsid w:val="00E63C9F"/>
    <w:rsid w:val="00E70286"/>
    <w:rsid w:val="00E74DFD"/>
    <w:rsid w:val="00E7600F"/>
    <w:rsid w:val="00E763F9"/>
    <w:rsid w:val="00E81B7F"/>
    <w:rsid w:val="00E937DE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41DA"/>
    <w:rsid w:val="00EE58E2"/>
    <w:rsid w:val="00EE5FC8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31DD"/>
    <w:rsid w:val="00F24D24"/>
    <w:rsid w:val="00F27508"/>
    <w:rsid w:val="00F2774D"/>
    <w:rsid w:val="00F2787F"/>
    <w:rsid w:val="00F30B9A"/>
    <w:rsid w:val="00F3490F"/>
    <w:rsid w:val="00F3605A"/>
    <w:rsid w:val="00F36978"/>
    <w:rsid w:val="00F377D3"/>
    <w:rsid w:val="00F433C6"/>
    <w:rsid w:val="00F501E6"/>
    <w:rsid w:val="00F5132D"/>
    <w:rsid w:val="00F51A8F"/>
    <w:rsid w:val="00F534BA"/>
    <w:rsid w:val="00F553B5"/>
    <w:rsid w:val="00F60D55"/>
    <w:rsid w:val="00F64BB9"/>
    <w:rsid w:val="00F673C6"/>
    <w:rsid w:val="00F75F36"/>
    <w:rsid w:val="00F82F2C"/>
    <w:rsid w:val="00F83362"/>
    <w:rsid w:val="00F8724D"/>
    <w:rsid w:val="00F91DFC"/>
    <w:rsid w:val="00FA46E3"/>
    <w:rsid w:val="00FA7449"/>
    <w:rsid w:val="00FA7CD7"/>
    <w:rsid w:val="00FB193F"/>
    <w:rsid w:val="00FE2DD5"/>
    <w:rsid w:val="00FE3FF9"/>
    <w:rsid w:val="00FE577D"/>
    <w:rsid w:val="00FE5A4B"/>
    <w:rsid w:val="00FE6BA2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4</cp:revision>
  <cp:lastPrinted>2024-08-25T08:43:00Z</cp:lastPrinted>
  <dcterms:created xsi:type="dcterms:W3CDTF">2024-08-25T08:27:00Z</dcterms:created>
  <dcterms:modified xsi:type="dcterms:W3CDTF">2024-08-25T08:43:00Z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