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F06AF1" w:rsidRPr="004C370C" w14:paraId="39899CAF" w14:textId="77777777" w:rsidTr="00845575">
        <w:tc>
          <w:tcPr>
            <w:tcW w:w="10201" w:type="dxa"/>
          </w:tcPr>
          <w:p w14:paraId="7532D105" w14:textId="73784520" w:rsidR="00F06AF1" w:rsidRPr="004C370C" w:rsidRDefault="00845575" w:rsidP="008320FE">
            <w:pPr>
              <w:spacing w:after="0" w:line="240" w:lineRule="auto"/>
              <w:jc w:val="center"/>
              <w:rPr>
                <w:rFonts w:eastAsia="Times New Roman" w:cs="Arial"/>
                <w:b/>
                <w:color w:val="595959" w:themeColor="text1" w:themeTint="A6"/>
              </w:rPr>
            </w:pPr>
            <w:r w:rsidRPr="004C370C">
              <w:rPr>
                <w:rFonts w:eastAsia="Times New Roman" w:cs="Arial"/>
                <w:b/>
              </w:rPr>
              <w:fldChar w:fldCharType="begin"/>
            </w:r>
            <w:r w:rsidRPr="004C370C">
              <w:rPr>
                <w:rFonts w:eastAsia="Times New Roman" w:cs="Arial"/>
                <w:b/>
              </w:rPr>
              <w:instrText xml:space="preserve"> HYPERLINK "http://labolycee.org" </w:instrText>
            </w:r>
            <w:r w:rsidRPr="004C370C">
              <w:rPr>
                <w:rFonts w:eastAsia="Times New Roman" w:cs="Arial"/>
                <w:b/>
              </w:rPr>
              <w:fldChar w:fldCharType="separate"/>
            </w:r>
            <w:r w:rsidRPr="004C370C">
              <w:rPr>
                <w:rStyle w:val="Lienhypertexte"/>
                <w:rFonts w:eastAsia="Times New Roman" w:cs="Arial"/>
                <w:b/>
              </w:rPr>
              <w:t>http://labolycee.org</w:t>
            </w:r>
            <w:r w:rsidRPr="004C370C">
              <w:rPr>
                <w:rFonts w:eastAsia="Times New Roman" w:cs="Arial"/>
                <w:b/>
              </w:rPr>
              <w:fldChar w:fldCharType="end"/>
            </w:r>
            <w:r w:rsidRPr="004C370C">
              <w:rPr>
                <w:rFonts w:eastAsia="Times New Roman" w:cs="Arial"/>
                <w:b/>
              </w:rPr>
              <w:t xml:space="preserve"> </w:t>
            </w:r>
            <w:r w:rsidR="00F06AF1" w:rsidRPr="004C370C">
              <w:rPr>
                <w:rFonts w:eastAsia="Times New Roman" w:cs="Arial"/>
                <w:b/>
              </w:rPr>
              <w:t>ÉPREUVES COMMUNES DE CONTRÔLE CONTINU</w:t>
            </w:r>
          </w:p>
        </w:tc>
      </w:tr>
      <w:tr w:rsidR="00F06AF1" w:rsidRPr="004C370C" w14:paraId="49B64899" w14:textId="77777777" w:rsidTr="00845575">
        <w:tc>
          <w:tcPr>
            <w:tcW w:w="10201" w:type="dxa"/>
          </w:tcPr>
          <w:p w14:paraId="18207D0E" w14:textId="61E70385" w:rsidR="00893F38" w:rsidRPr="004C370C" w:rsidRDefault="00F06AF1" w:rsidP="008320FE">
            <w:pPr>
              <w:spacing w:after="0" w:line="240" w:lineRule="auto"/>
              <w:rPr>
                <w:rFonts w:eastAsia="Times New Roman" w:cs="Arial"/>
                <w:b/>
                <w:color w:val="000000" w:themeColor="text1"/>
              </w:rPr>
            </w:pPr>
            <w:r w:rsidRPr="004C370C">
              <w:rPr>
                <w:rFonts w:eastAsia="Times New Roman" w:cs="Arial"/>
                <w:b/>
                <w:color w:val="000000" w:themeColor="text1"/>
              </w:rPr>
              <w:t>CLASSE :</w:t>
            </w:r>
            <w:r w:rsidRPr="004C370C">
              <w:rPr>
                <w:rFonts w:eastAsia="Times New Roman" w:cs="Arial"/>
                <w:color w:val="000000" w:themeColor="text1"/>
              </w:rPr>
              <w:t xml:space="preserve"> Première</w:t>
            </w:r>
            <w:r w:rsidR="00845575" w:rsidRPr="004C370C">
              <w:rPr>
                <w:rFonts w:eastAsia="Times New Roman" w:cs="Arial"/>
                <w:color w:val="000000" w:themeColor="text1"/>
              </w:rPr>
              <w:tab/>
            </w:r>
            <w:r w:rsidR="00845575" w:rsidRPr="004C370C">
              <w:rPr>
                <w:rFonts w:eastAsia="Times New Roman" w:cs="Arial"/>
                <w:color w:val="000000" w:themeColor="text1"/>
              </w:rPr>
              <w:tab/>
            </w:r>
            <w:r w:rsidR="00845575" w:rsidRPr="004C370C">
              <w:rPr>
                <w:rFonts w:eastAsia="Times New Roman" w:cs="Arial"/>
                <w:color w:val="000000" w:themeColor="text1"/>
              </w:rPr>
              <w:tab/>
            </w:r>
            <w:r w:rsidR="00893F38" w:rsidRPr="004C370C">
              <w:rPr>
                <w:rFonts w:eastAsia="Times New Roman" w:cs="Arial"/>
                <w:b/>
                <w:color w:val="000000" w:themeColor="text1"/>
              </w:rPr>
              <w:t xml:space="preserve">E3C : </w:t>
            </w:r>
            <w:sdt>
              <w:sdtPr>
                <w:rPr>
                  <w:rFonts w:eastAsia="Times New Roman" w:cs="Arial"/>
                  <w:color w:val="000000" w:themeColor="text1"/>
                </w:rPr>
                <w:id w:val="1990283991"/>
                <w14:checkbox>
                  <w14:checked w14:val="0"/>
                  <w14:checkedState w14:val="2612" w14:font="MS Gothic"/>
                  <w14:uncheckedState w14:val="2610" w14:font="MS Gothic"/>
                </w14:checkbox>
              </w:sdtPr>
              <w:sdtEndPr/>
              <w:sdtContent>
                <w:r w:rsidR="00893F38" w:rsidRPr="004C370C">
                  <w:rPr>
                    <w:rFonts w:ascii="Segoe UI Symbol" w:eastAsia="MS Gothic" w:hAnsi="Segoe UI Symbol" w:cs="Segoe UI Symbol"/>
                    <w:color w:val="000000" w:themeColor="text1"/>
                  </w:rPr>
                  <w:t>☐</w:t>
                </w:r>
              </w:sdtContent>
            </w:sdt>
            <w:r w:rsidR="00893F38" w:rsidRPr="004C370C">
              <w:rPr>
                <w:rFonts w:eastAsia="Times New Roman" w:cs="Arial"/>
                <w:color w:val="000000" w:themeColor="text1"/>
              </w:rPr>
              <w:t xml:space="preserve"> E3C1 </w:t>
            </w:r>
            <w:sdt>
              <w:sdtPr>
                <w:rPr>
                  <w:rFonts w:eastAsia="Times New Roman" w:cs="Arial"/>
                  <w:color w:val="000000" w:themeColor="text1"/>
                </w:rPr>
                <w:id w:val="1774132376"/>
                <w14:checkbox>
                  <w14:checked w14:val="1"/>
                  <w14:checkedState w14:val="2612" w14:font="MS Gothic"/>
                  <w14:uncheckedState w14:val="2610" w14:font="MS Gothic"/>
                </w14:checkbox>
              </w:sdtPr>
              <w:sdtEndPr/>
              <w:sdtContent>
                <w:r w:rsidR="00E61EB3" w:rsidRPr="004C370C">
                  <w:rPr>
                    <w:rFonts w:ascii="Segoe UI Symbol" w:eastAsia="MS Gothic" w:hAnsi="Segoe UI Symbol" w:cs="Segoe UI Symbol"/>
                    <w:color w:val="000000" w:themeColor="text1"/>
                  </w:rPr>
                  <w:t>☒</w:t>
                </w:r>
              </w:sdtContent>
            </w:sdt>
            <w:r w:rsidR="00893F38" w:rsidRPr="004C370C">
              <w:rPr>
                <w:rFonts w:eastAsia="Times New Roman" w:cs="Arial"/>
                <w:color w:val="000000" w:themeColor="text1"/>
              </w:rPr>
              <w:t xml:space="preserve"> E3C2 </w:t>
            </w:r>
            <w:sdt>
              <w:sdtPr>
                <w:rPr>
                  <w:rFonts w:eastAsia="Times New Roman" w:cs="Arial"/>
                  <w:color w:val="000000" w:themeColor="text1"/>
                </w:rPr>
                <w:id w:val="1252311351"/>
                <w14:checkbox>
                  <w14:checked w14:val="0"/>
                  <w14:checkedState w14:val="2612" w14:font="MS Gothic"/>
                  <w14:uncheckedState w14:val="2610" w14:font="MS Gothic"/>
                </w14:checkbox>
              </w:sdtPr>
              <w:sdtEndPr/>
              <w:sdtContent>
                <w:r w:rsidR="00893F38" w:rsidRPr="004C370C">
                  <w:rPr>
                    <w:rFonts w:ascii="Segoe UI Symbol" w:eastAsia="MS Gothic" w:hAnsi="Segoe UI Symbol" w:cs="Segoe UI Symbol"/>
                    <w:color w:val="000000" w:themeColor="text1"/>
                  </w:rPr>
                  <w:t>☐</w:t>
                </w:r>
              </w:sdtContent>
            </w:sdt>
            <w:r w:rsidR="00893F38" w:rsidRPr="004C370C">
              <w:rPr>
                <w:rFonts w:eastAsia="Times New Roman" w:cs="Arial"/>
                <w:color w:val="000000" w:themeColor="text1"/>
              </w:rPr>
              <w:t xml:space="preserve"> E3C3</w:t>
            </w:r>
          </w:p>
          <w:p w14:paraId="7B72A262" w14:textId="3FC173DE" w:rsidR="00F06AF1" w:rsidRPr="004C370C" w:rsidRDefault="00F06AF1" w:rsidP="008320FE">
            <w:pPr>
              <w:spacing w:after="0" w:line="240" w:lineRule="auto"/>
              <w:rPr>
                <w:rFonts w:eastAsia="Times New Roman" w:cs="Arial"/>
                <w:b/>
                <w:color w:val="000000" w:themeColor="text1"/>
              </w:rPr>
            </w:pPr>
            <w:r w:rsidRPr="004C370C">
              <w:rPr>
                <w:rFonts w:eastAsia="Times New Roman" w:cs="Arial"/>
                <w:b/>
                <w:color w:val="000000" w:themeColor="text1"/>
              </w:rPr>
              <w:t>VOIE :</w:t>
            </w:r>
            <w:r w:rsidRPr="004C370C">
              <w:rPr>
                <w:rFonts w:eastAsia="Times New Roman" w:cs="Arial"/>
                <w:color w:val="000000" w:themeColor="text1"/>
              </w:rPr>
              <w:t xml:space="preserve"> </w:t>
            </w:r>
            <w:sdt>
              <w:sdtPr>
                <w:rPr>
                  <w:rFonts w:eastAsia="Times New Roman" w:cs="Arial"/>
                  <w:color w:val="000000" w:themeColor="text1"/>
                </w:rPr>
                <w:id w:val="1896242340"/>
                <w14:checkbox>
                  <w14:checked w14:val="1"/>
                  <w14:checkedState w14:val="2612" w14:font="MS Gothic"/>
                  <w14:uncheckedState w14:val="2610" w14:font="MS Gothic"/>
                </w14:checkbox>
              </w:sdtPr>
              <w:sdtEndPr/>
              <w:sdtContent>
                <w:r w:rsidR="00E61EB3" w:rsidRPr="004C370C">
                  <w:rPr>
                    <w:rFonts w:ascii="Segoe UI Symbol" w:eastAsia="MS Gothic" w:hAnsi="Segoe UI Symbol" w:cs="Segoe UI Symbol"/>
                    <w:color w:val="000000" w:themeColor="text1"/>
                  </w:rPr>
                  <w:t>☒</w:t>
                </w:r>
              </w:sdtContent>
            </w:sdt>
            <w:r w:rsidRPr="004C370C">
              <w:rPr>
                <w:rFonts w:eastAsia="Times New Roman" w:cs="Arial"/>
                <w:color w:val="000000" w:themeColor="text1"/>
              </w:rPr>
              <w:t xml:space="preserve"> Générale </w:t>
            </w:r>
            <w:r w:rsidR="00845575" w:rsidRPr="004C370C">
              <w:rPr>
                <w:rFonts w:eastAsia="Times New Roman" w:cs="Arial"/>
                <w:color w:val="000000" w:themeColor="text1"/>
              </w:rPr>
              <w:tab/>
            </w:r>
            <w:r w:rsidR="00845575" w:rsidRPr="004C370C">
              <w:rPr>
                <w:rFonts w:eastAsia="Times New Roman" w:cs="Arial"/>
                <w:color w:val="000000" w:themeColor="text1"/>
              </w:rPr>
              <w:tab/>
            </w:r>
            <w:r w:rsidR="00845575" w:rsidRPr="004C370C">
              <w:rPr>
                <w:rFonts w:eastAsia="Times New Roman" w:cs="Arial"/>
                <w:color w:val="000000" w:themeColor="text1"/>
              </w:rPr>
              <w:tab/>
            </w:r>
            <w:r w:rsidRPr="004C370C">
              <w:rPr>
                <w:rFonts w:eastAsia="Times New Roman" w:cs="Arial"/>
                <w:b/>
                <w:color w:val="000000" w:themeColor="text1"/>
              </w:rPr>
              <w:t>ENSEIGNEMENT :</w:t>
            </w:r>
            <w:r w:rsidR="008F7313" w:rsidRPr="004C370C">
              <w:rPr>
                <w:rFonts w:eastAsia="Times New Roman" w:cs="Arial"/>
                <w:b/>
                <w:color w:val="000000" w:themeColor="text1"/>
              </w:rPr>
              <w:t xml:space="preserve"> </w:t>
            </w:r>
            <w:r w:rsidR="00E61EB3" w:rsidRPr="004C370C">
              <w:rPr>
                <w:rFonts w:eastAsia="Times New Roman" w:cs="Arial"/>
                <w:b/>
                <w:color w:val="000000" w:themeColor="text1"/>
              </w:rPr>
              <w:t xml:space="preserve">Enseignement </w:t>
            </w:r>
            <w:r w:rsidR="008061BC" w:rsidRPr="004C370C">
              <w:rPr>
                <w:rFonts w:eastAsia="Times New Roman" w:cs="Arial"/>
                <w:b/>
                <w:color w:val="000000" w:themeColor="text1"/>
              </w:rPr>
              <w:t>scientifique</w:t>
            </w:r>
          </w:p>
          <w:p w14:paraId="42F4F05F" w14:textId="7F2F3193" w:rsidR="00F06AF1" w:rsidRPr="004C370C" w:rsidRDefault="00F06AF1" w:rsidP="008320FE">
            <w:pPr>
              <w:spacing w:after="0" w:line="240" w:lineRule="auto"/>
              <w:rPr>
                <w:rFonts w:eastAsia="Times New Roman" w:cs="Arial"/>
                <w:color w:val="000000" w:themeColor="text1"/>
              </w:rPr>
            </w:pPr>
            <w:r w:rsidRPr="004C370C">
              <w:rPr>
                <w:rFonts w:eastAsia="Times New Roman" w:cs="Arial"/>
                <w:b/>
                <w:color w:val="000000" w:themeColor="text1"/>
              </w:rPr>
              <w:t>DURÉE DE L’ÉPREUVE :</w:t>
            </w:r>
            <w:r w:rsidRPr="004C370C">
              <w:rPr>
                <w:rFonts w:eastAsia="Times New Roman" w:cs="Arial"/>
                <w:color w:val="000000" w:themeColor="text1"/>
              </w:rPr>
              <w:t xml:space="preserve"> </w:t>
            </w:r>
            <w:r w:rsidR="00845575" w:rsidRPr="004C370C">
              <w:rPr>
                <w:rFonts w:eastAsia="Times New Roman" w:cs="Arial"/>
                <w:color w:val="000000" w:themeColor="text1"/>
              </w:rPr>
              <w:t>1</w:t>
            </w:r>
            <w:r w:rsidRPr="004C370C">
              <w:rPr>
                <w:rFonts w:eastAsia="Times New Roman" w:cs="Arial"/>
                <w:color w:val="000000" w:themeColor="text1"/>
              </w:rPr>
              <w:t>h</w:t>
            </w:r>
          </w:p>
        </w:tc>
      </w:tr>
    </w:tbl>
    <w:p w14:paraId="49CA15BF" w14:textId="027F24BD" w:rsidR="003D1776" w:rsidRPr="004C370C" w:rsidRDefault="003D1776" w:rsidP="008320FE">
      <w:pPr>
        <w:pStyle w:val="EnTetePiedsDePage"/>
        <w:spacing w:before="0" w:after="0"/>
        <w:jc w:val="left"/>
        <w:rPr>
          <w:rFonts w:eastAsia="Arial"/>
          <w:bCs/>
          <w:sz w:val="24"/>
        </w:rPr>
      </w:pPr>
    </w:p>
    <w:p w14:paraId="09728601" w14:textId="147ABE18" w:rsidR="004C370C" w:rsidRPr="004C370C" w:rsidRDefault="00601CA8" w:rsidP="008320FE">
      <w:pPr>
        <w:pBdr>
          <w:top w:val="single" w:sz="4" w:space="1" w:color="auto"/>
          <w:left w:val="single" w:sz="4" w:space="4" w:color="auto"/>
          <w:bottom w:val="single" w:sz="4" w:space="1" w:color="auto"/>
          <w:right w:val="single" w:sz="4" w:space="4" w:color="auto"/>
        </w:pBdr>
        <w:jc w:val="center"/>
        <w:rPr>
          <w:rFonts w:cs="Arial"/>
        </w:rPr>
      </w:pPr>
      <w:r>
        <w:rPr>
          <w:rFonts w:cs="Arial"/>
        </w:rPr>
        <w:t>Bac 2020</w:t>
      </w:r>
      <w:r>
        <w:rPr>
          <w:rFonts w:cs="Arial"/>
        </w:rPr>
        <w:tab/>
      </w:r>
      <w:r w:rsidR="004C370C" w:rsidRPr="004C370C">
        <w:rPr>
          <w:rFonts w:cs="Arial"/>
        </w:rPr>
        <w:t xml:space="preserve">ENREGISTREMENT DE FICHIERS SONORES </w:t>
      </w:r>
    </w:p>
    <w:p w14:paraId="098B7B54" w14:textId="77777777" w:rsidR="004C370C" w:rsidRPr="004C370C" w:rsidRDefault="004C370C" w:rsidP="008320FE">
      <w:pPr>
        <w:spacing w:after="0" w:line="240" w:lineRule="auto"/>
        <w:jc w:val="both"/>
        <w:rPr>
          <w:rFonts w:eastAsiaTheme="minorEastAsia" w:cs="Arial"/>
        </w:rPr>
      </w:pPr>
      <w:r w:rsidRPr="004C370C">
        <w:rPr>
          <w:rFonts w:eastAsiaTheme="minorEastAsia" w:cs="Arial"/>
        </w:rPr>
        <w:t>On s’interroge sur la pertinence d’utiliser un smartphone pour télécharger et stocker de la musique. Pour cela, on étudie le lien entre la qualité de la numérisation d’un signal audio et la taille des fichiers numériques correspondants.</w:t>
      </w:r>
    </w:p>
    <w:p w14:paraId="47070A60" w14:textId="77777777" w:rsidR="004C370C" w:rsidRPr="004C370C" w:rsidRDefault="004C370C" w:rsidP="008320FE">
      <w:pPr>
        <w:spacing w:after="0" w:line="240" w:lineRule="auto"/>
        <w:jc w:val="both"/>
        <w:rPr>
          <w:rFonts w:eastAsiaTheme="minorEastAsia" w:cs="Arial"/>
        </w:rPr>
      </w:pPr>
    </w:p>
    <w:p w14:paraId="7425DBF0" w14:textId="77777777" w:rsidR="004C370C" w:rsidRPr="004C370C" w:rsidRDefault="004C370C" w:rsidP="008320FE">
      <w:pPr>
        <w:spacing w:after="0" w:line="240" w:lineRule="auto"/>
        <w:rPr>
          <w:rFonts w:cs="Arial"/>
          <w:b/>
          <w:bCs/>
        </w:rPr>
      </w:pPr>
      <w:r w:rsidRPr="004C370C">
        <w:rPr>
          <w:rFonts w:cs="Arial"/>
          <w:b/>
          <w:bCs/>
        </w:rPr>
        <w:t>Partie A :  échantillonnage et quantification d’un signal audio</w:t>
      </w:r>
    </w:p>
    <w:p w14:paraId="4A5937AD" w14:textId="77777777" w:rsidR="004C370C" w:rsidRPr="004C370C" w:rsidRDefault="004C370C" w:rsidP="008320FE">
      <w:pPr>
        <w:spacing w:after="0" w:line="240" w:lineRule="auto"/>
        <w:jc w:val="both"/>
        <w:rPr>
          <w:rFonts w:eastAsiaTheme="minorEastAsia" w:cs="Arial"/>
        </w:rPr>
      </w:pPr>
      <w:r w:rsidRPr="004C370C">
        <w:rPr>
          <w:rFonts w:eastAsiaTheme="minorEastAsia" w:cs="Arial"/>
        </w:rPr>
        <w:t>Le document 1 donné en annexe et à rendre avec la copie représente une portion de signal enregistré et l’échantillonnage effectué avant la conversion en signal numérique.</w:t>
      </w:r>
    </w:p>
    <w:p w14:paraId="5BB9D59E" w14:textId="77777777" w:rsidR="004C370C" w:rsidRPr="004C370C" w:rsidRDefault="004C370C" w:rsidP="00601CA8">
      <w:pPr>
        <w:spacing w:after="0" w:line="240" w:lineRule="auto"/>
        <w:rPr>
          <w:rFonts w:eastAsiaTheme="minorEastAsia" w:cs="Arial"/>
        </w:rPr>
      </w:pPr>
    </w:p>
    <w:p w14:paraId="0344EC36" w14:textId="77777777" w:rsidR="004C370C" w:rsidRPr="004C370C" w:rsidRDefault="004C370C" w:rsidP="008320FE">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eastAsiaTheme="minorEastAsia" w:hAnsi="Arial" w:cs="Arial"/>
          <w:sz w:val="24"/>
          <w:szCs w:val="24"/>
        </w:rPr>
      </w:pPr>
      <w:r w:rsidRPr="004C370C">
        <w:rPr>
          <w:rFonts w:ascii="Arial" w:hAnsi="Arial" w:cs="Arial"/>
          <w:sz w:val="24"/>
          <w:szCs w:val="24"/>
        </w:rPr>
        <w:t>Préciser la fréquence d’échantillonnage, choisie parmi les valeurs proposées ci-dessous :</w:t>
      </w:r>
    </w:p>
    <w:p w14:paraId="062696FB" w14:textId="77777777" w:rsidR="004C370C" w:rsidRPr="004C370C" w:rsidRDefault="004C370C" w:rsidP="008320FE">
      <w:pPr>
        <w:spacing w:after="0" w:line="240" w:lineRule="auto"/>
        <w:rPr>
          <w:rFonts w:cs="Arial"/>
        </w:rPr>
      </w:pPr>
      <m:oMath>
        <m:r>
          <w:rPr>
            <w:rFonts w:ascii="Cambria Math" w:hAnsi="Cambria Math" w:cs="Arial"/>
          </w:rPr>
          <m:t>2000</m:t>
        </m:r>
      </m:oMath>
      <w:r w:rsidRPr="004C370C">
        <w:rPr>
          <w:rFonts w:cs="Arial"/>
        </w:rPr>
        <w:t> </w:t>
      </w:r>
      <w:proofErr w:type="gramStart"/>
      <w:r w:rsidRPr="004C370C">
        <w:rPr>
          <w:rFonts w:cs="Arial"/>
        </w:rPr>
        <w:t>Hz  ;</w:t>
      </w:r>
      <w:proofErr w:type="gramEnd"/>
      <w:r w:rsidRPr="004C370C">
        <w:rPr>
          <w:rFonts w:cs="Arial"/>
        </w:rPr>
        <w:t xml:space="preserve">  </w:t>
      </w:r>
      <w:r w:rsidRPr="004C370C">
        <w:rPr>
          <w:rFonts w:cs="Arial"/>
        </w:rPr>
        <w:tab/>
      </w:r>
      <w:r w:rsidRPr="004C370C">
        <w:rPr>
          <w:rFonts w:cs="Arial"/>
        </w:rPr>
        <w:tab/>
      </w:r>
      <m:oMath>
        <m:r>
          <w:rPr>
            <w:rFonts w:ascii="Cambria Math" w:hAnsi="Cambria Math" w:cs="Arial"/>
          </w:rPr>
          <m:t xml:space="preserve">12 500 </m:t>
        </m:r>
      </m:oMath>
      <w:r w:rsidRPr="004C370C">
        <w:rPr>
          <w:rFonts w:cs="Arial"/>
        </w:rPr>
        <w:t xml:space="preserve">Hz  ;  </w:t>
      </w:r>
      <w:r w:rsidRPr="004C370C">
        <w:rPr>
          <w:rFonts w:cs="Arial"/>
        </w:rPr>
        <w:tab/>
      </w:r>
      <w:r w:rsidRPr="004C370C">
        <w:rPr>
          <w:rFonts w:cs="Arial"/>
        </w:rPr>
        <w:tab/>
      </w:r>
      <m:oMath>
        <m:r>
          <w:rPr>
            <w:rFonts w:ascii="Cambria Math" w:hAnsi="Cambria Math" w:cs="Arial"/>
          </w:rPr>
          <m:t>26 000 </m:t>
        </m:r>
      </m:oMath>
      <w:r w:rsidRPr="004C370C">
        <w:rPr>
          <w:rFonts w:cs="Arial"/>
        </w:rPr>
        <w:t xml:space="preserve">Hz ; </w:t>
      </w:r>
      <w:r w:rsidRPr="004C370C">
        <w:rPr>
          <w:rFonts w:cs="Arial"/>
        </w:rPr>
        <w:tab/>
      </w:r>
      <w:r w:rsidRPr="004C370C">
        <w:rPr>
          <w:rFonts w:cs="Arial"/>
        </w:rPr>
        <w:tab/>
      </w:r>
      <m:oMath>
        <m:r>
          <w:rPr>
            <w:rFonts w:ascii="Cambria Math" w:hAnsi="Cambria Math" w:cs="Arial"/>
          </w:rPr>
          <m:t>44 100</m:t>
        </m:r>
      </m:oMath>
      <w:r w:rsidRPr="004C370C">
        <w:rPr>
          <w:rFonts w:cs="Arial"/>
        </w:rPr>
        <w:t> Hz</w:t>
      </w:r>
    </w:p>
    <w:p w14:paraId="117AD9FB" w14:textId="77777777" w:rsidR="004C370C" w:rsidRPr="004C370C" w:rsidRDefault="004C370C" w:rsidP="008320FE">
      <w:pPr>
        <w:pStyle w:val="Paragraphedeliste"/>
        <w:spacing w:after="0" w:line="240" w:lineRule="auto"/>
        <w:ind w:left="0"/>
        <w:rPr>
          <w:rFonts w:ascii="Arial" w:hAnsi="Arial" w:cs="Arial"/>
          <w:sz w:val="24"/>
          <w:szCs w:val="24"/>
        </w:rPr>
      </w:pPr>
    </w:p>
    <w:p w14:paraId="31091E88" w14:textId="77777777" w:rsidR="004C370C" w:rsidRPr="004C370C" w:rsidRDefault="004C370C" w:rsidP="008320FE">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eastAsiaTheme="minorEastAsia" w:hAnsi="Arial" w:cs="Arial"/>
          <w:sz w:val="24"/>
          <w:szCs w:val="24"/>
        </w:rPr>
      </w:pPr>
      <w:r w:rsidRPr="004C370C">
        <w:rPr>
          <w:rFonts w:ascii="Arial" w:eastAsiaTheme="minorEastAsia" w:hAnsi="Arial" w:cs="Arial"/>
          <w:sz w:val="24"/>
          <w:szCs w:val="24"/>
        </w:rPr>
        <w:t xml:space="preserve">Après l’échantillonnage du signal audio, on procède à sa quantification. On admet que la tension quantifiée ne prend que des valeurs entières ; la valeur quantifiée d’une tension est l’entier le plus proche de cette tension. </w:t>
      </w:r>
    </w:p>
    <w:p w14:paraId="45E52661" w14:textId="77777777" w:rsidR="004C370C" w:rsidRPr="004C370C" w:rsidRDefault="004C370C" w:rsidP="008320FE">
      <w:pPr>
        <w:pStyle w:val="Paragraphedeliste"/>
        <w:spacing w:after="0" w:line="240" w:lineRule="auto"/>
        <w:ind w:left="0"/>
        <w:jc w:val="both"/>
        <w:rPr>
          <w:rFonts w:ascii="Arial" w:eastAsiaTheme="minorEastAsia" w:hAnsi="Arial" w:cs="Arial"/>
          <w:sz w:val="24"/>
          <w:szCs w:val="24"/>
        </w:rPr>
      </w:pPr>
      <w:r w:rsidRPr="004C370C">
        <w:rPr>
          <w:rFonts w:ascii="Arial" w:eastAsiaTheme="minorEastAsia" w:hAnsi="Arial" w:cs="Arial"/>
          <w:sz w:val="24"/>
          <w:szCs w:val="24"/>
        </w:rPr>
        <w:t>Sur le document 1 en annexe, à rendre avec la copie, représenter la courbe des tensions après quantification.</w:t>
      </w:r>
    </w:p>
    <w:p w14:paraId="02FE26B4" w14:textId="77777777" w:rsidR="004C370C" w:rsidRPr="004C370C" w:rsidRDefault="004C370C" w:rsidP="008320FE">
      <w:pPr>
        <w:spacing w:after="0" w:line="240" w:lineRule="auto"/>
        <w:rPr>
          <w:rFonts w:cs="Arial"/>
        </w:rPr>
      </w:pPr>
    </w:p>
    <w:p w14:paraId="6B1F7FE2" w14:textId="77777777" w:rsidR="004C370C" w:rsidRPr="004C370C" w:rsidRDefault="004C370C" w:rsidP="008320FE">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hAnsi="Arial" w:cs="Arial"/>
          <w:sz w:val="24"/>
          <w:szCs w:val="24"/>
        </w:rPr>
      </w:pPr>
      <w:r w:rsidRPr="004C370C">
        <w:rPr>
          <w:rFonts w:ascii="Arial" w:hAnsi="Arial" w:cs="Arial"/>
          <w:sz w:val="24"/>
          <w:szCs w:val="24"/>
        </w:rPr>
        <w:t xml:space="preserve">Une plateforme de service de musique en ligne propose de la musique en qualité « 16-Bits / 44.1 kHz ». </w:t>
      </w:r>
    </w:p>
    <w:p w14:paraId="3279FFA9" w14:textId="77777777" w:rsidR="004C370C" w:rsidRPr="004C370C" w:rsidRDefault="004C370C" w:rsidP="008320FE">
      <w:pPr>
        <w:pStyle w:val="Paragraphedeliste"/>
        <w:spacing w:after="0" w:line="240" w:lineRule="auto"/>
        <w:ind w:left="0"/>
        <w:rPr>
          <w:rFonts w:ascii="Arial" w:hAnsi="Arial" w:cs="Arial"/>
          <w:sz w:val="24"/>
          <w:szCs w:val="24"/>
        </w:rPr>
      </w:pPr>
      <w:r w:rsidRPr="004C370C">
        <w:rPr>
          <w:rFonts w:ascii="Arial" w:hAnsi="Arial" w:cs="Arial"/>
          <w:sz w:val="24"/>
          <w:szCs w:val="24"/>
        </w:rPr>
        <w:t>Expliquer ce que représentent ces deux valeurs.</w:t>
      </w:r>
    </w:p>
    <w:p w14:paraId="0D51B8DC" w14:textId="77777777" w:rsidR="004C370C" w:rsidRPr="004C370C" w:rsidRDefault="004C370C" w:rsidP="008320FE">
      <w:pPr>
        <w:pStyle w:val="Paragraphedeliste"/>
        <w:spacing w:after="0" w:line="240" w:lineRule="auto"/>
        <w:ind w:left="0"/>
        <w:rPr>
          <w:rFonts w:ascii="Arial" w:hAnsi="Arial" w:cs="Arial"/>
          <w:sz w:val="24"/>
          <w:szCs w:val="24"/>
        </w:rPr>
      </w:pPr>
    </w:p>
    <w:p w14:paraId="132D87D2" w14:textId="77777777" w:rsidR="004C370C" w:rsidRPr="004C370C" w:rsidRDefault="004C370C" w:rsidP="008320FE">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hAnsi="Arial" w:cs="Arial"/>
          <w:sz w:val="24"/>
          <w:szCs w:val="24"/>
        </w:rPr>
      </w:pPr>
      <w:r w:rsidRPr="004C370C">
        <w:rPr>
          <w:rFonts w:ascii="Arial" w:eastAsiaTheme="minorEastAsia" w:hAnsi="Arial" w:cs="Arial"/>
          <w:sz w:val="24"/>
          <w:szCs w:val="24"/>
        </w:rPr>
        <w:t xml:space="preserve"> Combien de niveaux de quantification différents peut-on obtenir lorsque le codage s’effectue sur 16 bits ? Choisir la bonne réponse parmi les propositions suivantes :</w:t>
      </w:r>
    </w:p>
    <w:p w14:paraId="54C04A18" w14:textId="4361DC48" w:rsidR="004C370C" w:rsidRPr="004C370C" w:rsidRDefault="004C370C" w:rsidP="008320FE">
      <w:pPr>
        <w:spacing w:after="0" w:line="240" w:lineRule="auto"/>
        <w:rPr>
          <w:rFonts w:eastAsiaTheme="minorEastAsia" w:cs="Arial"/>
        </w:rPr>
      </w:pPr>
    </w:p>
    <w:p w14:paraId="6FE76D82" w14:textId="2774BC1A" w:rsidR="004C370C" w:rsidRPr="004C370C" w:rsidRDefault="004C370C" w:rsidP="008320FE">
      <w:pPr>
        <w:spacing w:after="0" w:line="240" w:lineRule="auto"/>
        <w:rPr>
          <w:rFonts w:eastAsiaTheme="minorEastAsia" w:cs="Arial"/>
        </w:rPr>
      </w:pPr>
      <m:oMath>
        <m:r>
          <w:rPr>
            <w:rFonts w:ascii="Cambria Math" w:eastAsiaTheme="minorEastAsia" w:hAnsi="Cambria Math" w:cs="Arial"/>
          </w:rPr>
          <m:t>16</m:t>
        </m:r>
      </m:oMath>
      <w:r w:rsidRPr="004C370C">
        <w:rPr>
          <w:rFonts w:eastAsiaTheme="minorEastAsia" w:cs="Arial"/>
        </w:rPr>
        <w:t xml:space="preserve">                 </w:t>
      </w:r>
      <m:oMath>
        <m:r>
          <w:rPr>
            <w:rFonts w:ascii="Cambria Math" w:eastAsiaTheme="minorEastAsia" w:hAnsi="Cambria Math" w:cs="Arial"/>
          </w:rPr>
          <m:t xml:space="preserve">2×16=32  </m:t>
        </m:r>
      </m:oMath>
      <w:r w:rsidRPr="004C370C">
        <w:rPr>
          <w:rFonts w:eastAsiaTheme="minorEastAsia" w:cs="Arial"/>
        </w:rPr>
        <w:tab/>
      </w:r>
      <w:r w:rsidRPr="004C370C">
        <w:rPr>
          <w:rFonts w:eastAsiaTheme="minorEastAsia" w:cs="Arial"/>
        </w:rPr>
        <w:tab/>
      </w:r>
      <m:oMath>
        <m:sSup>
          <m:sSupPr>
            <m:ctrlPr>
              <w:rPr>
                <w:rFonts w:ascii="Cambria Math" w:eastAsiaTheme="minorEastAsia" w:hAnsi="Cambria Math" w:cs="Arial"/>
                <w:i/>
              </w:rPr>
            </m:ctrlPr>
          </m:sSupPr>
          <m:e>
            <m:r>
              <w:rPr>
                <w:rFonts w:ascii="Cambria Math" w:eastAsiaTheme="minorEastAsia" w:hAnsi="Cambria Math" w:cs="Arial"/>
              </w:rPr>
              <m:t>16</m:t>
            </m:r>
          </m:e>
          <m:sup>
            <m:r>
              <w:rPr>
                <w:rFonts w:ascii="Cambria Math" w:eastAsiaTheme="minorEastAsia" w:hAnsi="Cambria Math" w:cs="Arial"/>
              </w:rPr>
              <m:t>2</m:t>
            </m:r>
          </m:sup>
        </m:sSup>
        <m:r>
          <w:rPr>
            <w:rFonts w:ascii="Cambria Math" w:eastAsiaTheme="minorEastAsia" w:hAnsi="Cambria Math" w:cs="Arial"/>
          </w:rPr>
          <m:t xml:space="preserve">=256  </m:t>
        </m:r>
      </m:oMath>
      <w:r w:rsidRPr="004C370C">
        <w:rPr>
          <w:rFonts w:eastAsiaTheme="minorEastAsia" w:cs="Arial"/>
        </w:rPr>
        <w:t xml:space="preserve"> </w:t>
      </w:r>
      <w:r w:rsidRPr="004C370C">
        <w:rPr>
          <w:rFonts w:eastAsiaTheme="minorEastAsia" w:cs="Arial"/>
        </w:rPr>
        <w:tab/>
      </w:r>
      <m:oMath>
        <m:sSup>
          <m:sSupPr>
            <m:ctrlPr>
              <w:rPr>
                <w:rFonts w:ascii="Cambria Math" w:eastAsiaTheme="minorEastAsia" w:hAnsi="Cambria Math" w:cs="Arial"/>
                <w:i/>
              </w:rPr>
            </m:ctrlPr>
          </m:sSupPr>
          <m:e>
            <m:r>
              <w:rPr>
                <w:rFonts w:ascii="Cambria Math" w:eastAsiaTheme="minorEastAsia" w:hAnsi="Cambria Math" w:cs="Arial"/>
              </w:rPr>
              <m:t xml:space="preserve">        2</m:t>
            </m:r>
          </m:e>
          <m:sup>
            <m:r>
              <w:rPr>
                <w:rFonts w:ascii="Cambria Math" w:eastAsiaTheme="minorEastAsia" w:hAnsi="Cambria Math" w:cs="Arial"/>
              </w:rPr>
              <m:t>16</m:t>
            </m:r>
          </m:sup>
        </m:sSup>
        <m:r>
          <w:rPr>
            <w:rFonts w:ascii="Cambria Math" w:eastAsiaTheme="minorEastAsia" w:hAnsi="Cambria Math" w:cs="Arial"/>
          </w:rPr>
          <m:t>=65 536</m:t>
        </m:r>
      </m:oMath>
    </w:p>
    <w:p w14:paraId="1C60F88F" w14:textId="77777777" w:rsidR="004C370C" w:rsidRPr="004C370C" w:rsidRDefault="004C370C" w:rsidP="008320FE">
      <w:pPr>
        <w:spacing w:after="0" w:line="240" w:lineRule="auto"/>
        <w:rPr>
          <w:rFonts w:eastAsiaTheme="minorEastAsia" w:cs="Arial"/>
        </w:rPr>
      </w:pPr>
    </w:p>
    <w:p w14:paraId="4F2C41D1" w14:textId="77777777" w:rsidR="004C370C" w:rsidRPr="004C370C" w:rsidRDefault="004C370C" w:rsidP="008320FE">
      <w:pPr>
        <w:tabs>
          <w:tab w:val="left" w:pos="426"/>
        </w:tabs>
        <w:spacing w:after="0" w:line="240" w:lineRule="auto"/>
        <w:rPr>
          <w:rFonts w:eastAsiaTheme="minorEastAsia" w:cs="Arial"/>
          <w:b/>
          <w:bCs/>
        </w:rPr>
      </w:pPr>
      <w:r w:rsidRPr="004C370C">
        <w:rPr>
          <w:rFonts w:eastAsiaTheme="minorEastAsia" w:cs="Arial"/>
          <w:b/>
          <w:bCs/>
        </w:rPr>
        <w:t>Partie B : taille d’un fichier en haute définition</w:t>
      </w:r>
    </w:p>
    <w:p w14:paraId="6FE5CDC8" w14:textId="77777777" w:rsidR="004C370C" w:rsidRPr="004C370C" w:rsidRDefault="004C370C" w:rsidP="008320FE">
      <w:pPr>
        <w:spacing w:after="0" w:line="240" w:lineRule="auto"/>
        <w:jc w:val="both"/>
        <w:rPr>
          <w:rFonts w:eastAsiaTheme="minorEastAsia" w:cs="Arial"/>
        </w:rPr>
      </w:pPr>
      <w:r w:rsidRPr="004C370C">
        <w:rPr>
          <w:rFonts w:eastAsiaTheme="minorEastAsia" w:cs="Arial"/>
        </w:rPr>
        <w:t>Dans un studio d’enregistrement, on enregistre un morceau de musique en stéréo haute définition en choisissant un encodage sur 24 bits et une fréquence d’échantillonnage de 192 kHz.</w:t>
      </w:r>
    </w:p>
    <w:p w14:paraId="5E147035" w14:textId="77777777" w:rsidR="004C370C" w:rsidRPr="004C370C" w:rsidRDefault="004C370C" w:rsidP="008320FE">
      <w:pPr>
        <w:spacing w:after="0" w:line="240" w:lineRule="auto"/>
        <w:rPr>
          <w:rFonts w:eastAsiaTheme="minorEastAsia" w:cs="Arial"/>
        </w:rPr>
      </w:pPr>
    </w:p>
    <w:p w14:paraId="110B24E3" w14:textId="57F73A6C" w:rsidR="004C370C" w:rsidRPr="008D4AFD" w:rsidRDefault="004C370C" w:rsidP="00A5633D">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eastAsiaTheme="minorEastAsia" w:hAnsi="Arial" w:cs="Arial"/>
          <w:sz w:val="24"/>
          <w:szCs w:val="24"/>
        </w:rPr>
      </w:pPr>
      <w:r w:rsidRPr="008D4AFD">
        <w:rPr>
          <w:rFonts w:ascii="Arial" w:eastAsiaTheme="minorEastAsia" w:hAnsi="Arial" w:cs="Arial"/>
          <w:sz w:val="24"/>
          <w:szCs w:val="24"/>
        </w:rPr>
        <w:t xml:space="preserve"> La taille </w:t>
      </w:r>
      <w:proofErr w:type="gramStart"/>
      <w:r w:rsidRPr="008D4AFD">
        <w:rPr>
          <w:rFonts w:ascii="Arial" w:eastAsiaTheme="minorEastAsia" w:hAnsi="Arial" w:cs="Arial"/>
          <w:sz w:val="24"/>
          <w:szCs w:val="24"/>
        </w:rPr>
        <w:t>T(</w:t>
      </w:r>
      <w:proofErr w:type="gramEnd"/>
      <w:r w:rsidRPr="008D4AFD">
        <w:rPr>
          <w:rFonts w:ascii="Arial" w:eastAsiaTheme="minorEastAsia" w:hAnsi="Arial" w:cs="Arial"/>
          <w:sz w:val="24"/>
          <w:szCs w:val="24"/>
        </w:rPr>
        <w:t xml:space="preserve">en bit) d’un fichier audio numérique s’exprime en fonction de la fréquence d’échantillonnage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e</m:t>
            </m:r>
          </m:sub>
        </m:sSub>
        <m:r>
          <w:rPr>
            <w:rFonts w:ascii="Cambria Math" w:eastAsiaTheme="minorEastAsia" w:hAnsi="Cambria Math" w:cs="Arial"/>
            <w:sz w:val="24"/>
            <w:szCs w:val="24"/>
          </w:rPr>
          <m:t xml:space="preserve"> </m:t>
        </m:r>
      </m:oMath>
      <w:r w:rsidRPr="008D4AFD">
        <w:rPr>
          <w:rFonts w:ascii="Arial" w:eastAsiaTheme="minorEastAsia" w:hAnsi="Arial" w:cs="Arial"/>
          <w:sz w:val="24"/>
          <w:szCs w:val="24"/>
        </w:rPr>
        <w:t xml:space="preserve">(en Hertz), du nombre </w:t>
      </w:r>
      <m:oMath>
        <m:r>
          <w:rPr>
            <w:rFonts w:ascii="Cambria Math" w:eastAsiaTheme="minorEastAsia" w:hAnsi="Cambria Math" w:cs="Arial"/>
            <w:sz w:val="24"/>
            <w:szCs w:val="24"/>
          </w:rPr>
          <m:t>n</m:t>
        </m:r>
      </m:oMath>
      <w:r w:rsidRPr="008D4AFD">
        <w:rPr>
          <w:rFonts w:ascii="Arial" w:eastAsiaTheme="minorEastAsia" w:hAnsi="Arial" w:cs="Arial"/>
          <w:sz w:val="24"/>
          <w:szCs w:val="24"/>
        </w:rPr>
        <w:t xml:space="preserve"> de bits utilisés pour la quantification, de la durée </w:t>
      </w:r>
      <m:oMath>
        <m:r>
          <m:rPr>
            <m:sty m:val="p"/>
          </m:rPr>
          <w:rPr>
            <w:rFonts w:ascii="Cambria Math" w:eastAsiaTheme="minorEastAsia" w:hAnsi="Cambria Math" w:cs="Arial"/>
            <w:sz w:val="24"/>
            <w:szCs w:val="24"/>
          </w:rPr>
          <m:t>Δ</m:t>
        </m:r>
        <m:r>
          <w:rPr>
            <w:rFonts w:ascii="Cambria Math" w:eastAsiaTheme="minorEastAsia" w:hAnsi="Cambria Math" w:cs="Arial"/>
            <w:sz w:val="24"/>
            <w:szCs w:val="24"/>
          </w:rPr>
          <m:t>t</m:t>
        </m:r>
      </m:oMath>
      <w:r w:rsidRPr="008D4AFD">
        <w:rPr>
          <w:rFonts w:ascii="Arial" w:eastAsiaTheme="minorEastAsia" w:hAnsi="Arial" w:cs="Arial"/>
          <w:sz w:val="24"/>
          <w:szCs w:val="24"/>
        </w:rPr>
        <w:t xml:space="preserve"> de l’enregistrement et du nombre </w:t>
      </w:r>
      <m:oMath>
        <m:r>
          <w:rPr>
            <w:rFonts w:ascii="Cambria Math" w:eastAsiaTheme="minorEastAsia" w:hAnsi="Cambria Math" w:cs="Arial"/>
            <w:sz w:val="24"/>
            <w:szCs w:val="24"/>
          </w:rPr>
          <m:t>k</m:t>
        </m:r>
      </m:oMath>
      <w:r w:rsidRPr="008D4AFD">
        <w:rPr>
          <w:rFonts w:ascii="Arial" w:eastAsiaTheme="minorEastAsia" w:hAnsi="Arial" w:cs="Arial"/>
          <w:sz w:val="24"/>
          <w:szCs w:val="24"/>
        </w:rPr>
        <w:t xml:space="preserve"> de voies d’enregistrement (une en mono, deux en stéréo)  selon la relation</w:t>
      </w:r>
      <w:r w:rsidR="008D4AFD" w:rsidRPr="008D4AFD">
        <w:rPr>
          <w:rFonts w:ascii="Arial" w:eastAsiaTheme="minorEastAsia" w:hAnsi="Arial" w:cs="Arial"/>
          <w:sz w:val="24"/>
          <w:szCs w:val="24"/>
        </w:rPr>
        <w:t xml:space="preserve"> : </w:t>
      </w:r>
      <m:oMath>
        <m:r>
          <w:rPr>
            <w:rFonts w:ascii="Cambria Math" w:eastAsiaTheme="minorEastAsia" w:hAnsi="Cambria Math" w:cs="Arial"/>
            <w:sz w:val="24"/>
            <w:szCs w:val="24"/>
          </w:rPr>
          <m:t xml:space="preserve">T=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e</m:t>
            </m:r>
          </m:sub>
        </m:sSub>
        <m:r>
          <w:rPr>
            <w:rFonts w:ascii="Cambria Math" w:eastAsiaTheme="minorEastAsia" w:hAnsi="Cambria Math" w:cs="Arial"/>
            <w:sz w:val="24"/>
            <w:szCs w:val="24"/>
          </w:rPr>
          <m:t>×n×</m:t>
        </m:r>
        <m:r>
          <m:rPr>
            <m:sty m:val="p"/>
          </m:rPr>
          <w:rPr>
            <w:rFonts w:ascii="Cambria Math" w:eastAsiaTheme="minorEastAsia" w:hAnsi="Cambria Math" w:cs="Arial"/>
            <w:sz w:val="24"/>
            <w:szCs w:val="24"/>
          </w:rPr>
          <m:t xml:space="preserve"> Δ</m:t>
        </m:r>
        <m:r>
          <w:rPr>
            <w:rFonts w:ascii="Cambria Math" w:eastAsiaTheme="minorEastAsia" w:hAnsi="Cambria Math" w:cs="Arial"/>
            <w:sz w:val="24"/>
            <w:szCs w:val="24"/>
          </w:rPr>
          <m:t>t×k</m:t>
        </m:r>
      </m:oMath>
    </w:p>
    <w:p w14:paraId="244465FB" w14:textId="77777777" w:rsidR="004C370C" w:rsidRPr="004C370C" w:rsidRDefault="004C370C" w:rsidP="008320FE">
      <w:pPr>
        <w:spacing w:after="0" w:line="240" w:lineRule="auto"/>
        <w:jc w:val="both"/>
        <w:rPr>
          <w:rFonts w:eastAsiaTheme="minorEastAsia" w:cs="Arial"/>
        </w:rPr>
      </w:pPr>
      <w:r w:rsidRPr="004C370C">
        <w:rPr>
          <w:rFonts w:eastAsiaTheme="minorEastAsia" w:cs="Arial"/>
        </w:rPr>
        <w:t xml:space="preserve">Vérifier que l’espace de stockage nécessaire pour enregistrer en stéréo haute définition une seconde de musique est de </w:t>
      </w:r>
      <m:oMath>
        <m:r>
          <w:rPr>
            <w:rFonts w:ascii="Cambria Math" w:eastAsiaTheme="minorEastAsia" w:hAnsi="Cambria Math" w:cs="Arial"/>
          </w:rPr>
          <m:t>1,152</m:t>
        </m:r>
      </m:oMath>
      <w:r w:rsidRPr="004C370C">
        <w:rPr>
          <w:rFonts w:eastAsiaTheme="minorEastAsia" w:cs="Arial"/>
        </w:rPr>
        <w:t> Mo. On rappelle qu’un octet est égal à 8 bits.</w:t>
      </w:r>
    </w:p>
    <w:p w14:paraId="6F092014" w14:textId="77777777" w:rsidR="004C370C" w:rsidRPr="004C370C" w:rsidRDefault="004C370C" w:rsidP="008320FE">
      <w:pPr>
        <w:pStyle w:val="Paragraphedeliste"/>
        <w:spacing w:after="0" w:line="240" w:lineRule="auto"/>
        <w:ind w:left="0"/>
        <w:jc w:val="both"/>
        <w:rPr>
          <w:rFonts w:ascii="Arial" w:eastAsiaTheme="minorEastAsia" w:hAnsi="Arial" w:cs="Arial"/>
          <w:sz w:val="24"/>
          <w:szCs w:val="24"/>
        </w:rPr>
      </w:pPr>
    </w:p>
    <w:p w14:paraId="4C208D8F" w14:textId="77777777" w:rsidR="004C370C" w:rsidRPr="004C370C" w:rsidRDefault="004C370C" w:rsidP="008320FE">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Arial" w:eastAsiaTheme="minorEastAsia" w:hAnsi="Arial" w:cs="Arial"/>
          <w:sz w:val="24"/>
          <w:szCs w:val="24"/>
        </w:rPr>
      </w:pPr>
      <w:r w:rsidRPr="004C370C">
        <w:rPr>
          <w:rFonts w:ascii="Arial" w:eastAsiaTheme="minorEastAsia" w:hAnsi="Arial" w:cs="Arial"/>
          <w:sz w:val="24"/>
          <w:szCs w:val="24"/>
        </w:rPr>
        <w:t>Avec 200 Mo de stockage, dispose-t-on de suffisamment d’espace pour enregistrer cinq minutes de musique en stéréo haute définition ?</w:t>
      </w:r>
    </w:p>
    <w:p w14:paraId="17E38F2D" w14:textId="77777777" w:rsidR="004C370C" w:rsidRPr="004C370C" w:rsidRDefault="004C370C" w:rsidP="008320FE">
      <w:pPr>
        <w:pStyle w:val="Paragraphedeliste"/>
        <w:spacing w:after="0" w:line="240" w:lineRule="auto"/>
        <w:ind w:left="0"/>
        <w:rPr>
          <w:rFonts w:ascii="Arial" w:eastAsiaTheme="minorEastAsia" w:hAnsi="Arial" w:cs="Arial"/>
          <w:sz w:val="24"/>
          <w:szCs w:val="24"/>
        </w:rPr>
      </w:pPr>
    </w:p>
    <w:p w14:paraId="0FF87E3A" w14:textId="77777777" w:rsidR="004C370C" w:rsidRPr="004C370C" w:rsidRDefault="004C370C" w:rsidP="008320FE">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rPr>
          <w:rFonts w:ascii="Arial" w:eastAsiaTheme="minorEastAsia" w:hAnsi="Arial" w:cs="Arial"/>
          <w:sz w:val="24"/>
          <w:szCs w:val="24"/>
        </w:rPr>
      </w:pPr>
      <w:r w:rsidRPr="004C370C">
        <w:rPr>
          <w:rFonts w:ascii="Arial" w:eastAsiaTheme="minorEastAsia" w:hAnsi="Arial" w:cs="Arial"/>
          <w:sz w:val="24"/>
          <w:szCs w:val="24"/>
        </w:rPr>
        <w:t xml:space="preserve">Le dispositif d’encodage et de compression FLAC (Free Lossless Audio Codec) permet, par compression sans perte, de réduire de 55 % la taille des fichiers. </w:t>
      </w:r>
    </w:p>
    <w:p w14:paraId="21F6B67B" w14:textId="77777777" w:rsidR="004C370C" w:rsidRPr="004C370C" w:rsidRDefault="004C370C" w:rsidP="008320FE">
      <w:pPr>
        <w:pStyle w:val="Paragraphedeliste"/>
        <w:spacing w:after="0" w:line="240" w:lineRule="auto"/>
        <w:ind w:left="0"/>
        <w:jc w:val="both"/>
        <w:rPr>
          <w:rFonts w:ascii="Arial" w:eastAsiaTheme="minorEastAsia" w:hAnsi="Arial" w:cs="Arial"/>
          <w:sz w:val="24"/>
          <w:szCs w:val="24"/>
        </w:rPr>
      </w:pPr>
      <w:r w:rsidRPr="004C370C">
        <w:rPr>
          <w:rFonts w:ascii="Arial" w:eastAsiaTheme="minorEastAsia" w:hAnsi="Arial" w:cs="Arial"/>
          <w:sz w:val="24"/>
          <w:szCs w:val="24"/>
        </w:rPr>
        <w:t>Son taux de compression, défini comme le rapport de la taille du fichier compressé sur la taille du fichier initial, est donc de 45%.</w:t>
      </w:r>
    </w:p>
    <w:p w14:paraId="62B108E7" w14:textId="4460FE52" w:rsidR="0060707F" w:rsidRPr="008320FE" w:rsidRDefault="004C370C" w:rsidP="008320FE">
      <w:pPr>
        <w:spacing w:after="0" w:line="240" w:lineRule="auto"/>
        <w:jc w:val="both"/>
        <w:rPr>
          <w:rFonts w:eastAsiaTheme="minorEastAsia" w:cs="Arial"/>
        </w:rPr>
      </w:pPr>
      <w:r w:rsidRPr="004C370C">
        <w:rPr>
          <w:rFonts w:eastAsiaTheme="minorEastAsia" w:cs="Arial"/>
        </w:rPr>
        <w:t>Avec 200 Mo de stockage, dispose-t-on de suffisamment d’espace pour enregistrer cinq minutes de musique en stéréo haute définition compressées par FLAC ?</w:t>
      </w:r>
    </w:p>
    <w:sectPr w:rsidR="0060707F" w:rsidRPr="008320FE" w:rsidSect="00845575">
      <w:footerReference w:type="even" r:id="rId10"/>
      <w:type w:val="oddPage"/>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BBC08" w14:textId="77777777" w:rsidR="000D0D7A" w:rsidRDefault="000D0D7A" w:rsidP="0053612B">
      <w:pPr>
        <w:spacing w:after="0" w:line="240" w:lineRule="auto"/>
      </w:pPr>
      <w:r>
        <w:separator/>
      </w:r>
    </w:p>
  </w:endnote>
  <w:endnote w:type="continuationSeparator" w:id="0">
    <w:p w14:paraId="2BE13420" w14:textId="77777777" w:rsidR="000D0D7A" w:rsidRDefault="000D0D7A" w:rsidP="0053612B">
      <w:pPr>
        <w:spacing w:after="0" w:line="240" w:lineRule="auto"/>
      </w:pPr>
      <w:r>
        <w:continuationSeparator/>
      </w:r>
    </w:p>
  </w:endnote>
  <w:endnote w:type="continuationNotice" w:id="1">
    <w:p w14:paraId="10D9DBD0" w14:textId="77777777" w:rsidR="000D0D7A" w:rsidRDefault="000D0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8241"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DE657" id="_x0000_t202" coordsize="21600,21600" o:spt="202" path="m,l,21600r21600,l21600,xe">
              <v:stroke joinstyle="miter"/>
              <v:path gradientshapeok="t" o:connecttype="rect"/>
            </v:shapetype>
            <v:shape id="Zone de texte 3" o:spid="_x0000_s1026" type="#_x0000_t202" style="position:absolute;left:0;text-align:left;margin-left:311.85pt;margin-top:793.8pt;width:260.85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bOlAIAACsFAAAOAAAAZHJzL2Uyb0RvYy54bWysVNtq3DAQfS/0H4TeG9t7aRITb8ilGwrp&#10;BdJS6NusLNuiulXSrjf5+o4kZ7O09KXUBiFpRjNz5hzp4nKvJNlx54XRDa1OSkq4ZqYVum/o1y/r&#10;N2eU+AC6BWk0b+gj9/Ry9frVxWhrPjODkS13BINoX4+2oUMIti4KzwauwJ8YyzUaO+MUBFy6vmgd&#10;jBhdyWJWlm+L0bjWOsO497h7m410leJ3HWfhU9d5HohsKNYW0ujSuIljsbqAundgB8GmMuAfqlAg&#10;NCY9hLqFAGTrxB+hlGDOeNOFE2ZUYbpOMJ4wIJqq/A3NwwCWJyzYHG8PbfL/Lyz7uPvsiGgbOqdE&#10;g0KKviNRpOUk8H3gZB5bNFpfo+eDRd+wvzZ7pDrB9fbesB+eaHMzgO75lXNmHDi0WGIVTxZHR3Mc&#10;H4Nsxg+mxVywDSYF2ndOxf5hRwhGR6oeD/RgHYTh5nxezU7Pl5QwtC3m1VmZ+Cugfj5tnQ933CgS&#10;Jw11SH+KDrt7H2I1UD+7TGS1ayElcSZ8E2FI/X6G1ns8k7w8sQbxlBmx6zc30pEdoKLW6Us4kXp/&#10;7F2V8fvrkeQKSkESYBA65IiTIoXe3U1WrNnnnKn+mAW3DtVJoQl2vqHLRc5IPAPJkdDc/yTJhDKm&#10;lJqM2MjqdJkrM1IcbFOWXMf1Ov4TMn/sFht4C37Ifi3OohfUSgS8yVKohiIxEXvajmJ4p9sME4TM&#10;c0Qg9aSOKIgsjbDf7NExSmZj2kfUCRKTxIAvDE4G454oGfG2NtT/3ILjlMj3Grk5rxaLeL3TYrE8&#10;neHCHVs2xxbQDEM1NFBsXZzehPwkbK0T/YCZsrq1uUJ9diJJ56WqqW68kZmK/HrEK3+8Tl4vb9zq&#10;FwAAAP//AwBQSwMEFAAGAAgAAAAhAOBnGhLjAAAADgEAAA8AAABkcnMvZG93bnJldi54bWxMj0FO&#10;wzAQRfdI3MEaJHbUSWnSKMSpEIgFpahqyQHceIgDsR3FThNuz3QFuxn9pz9vis1sOnbGwbfOCogX&#10;ETC0tVOtbQRUHy93GTAfpFWycxYF/KCHTXl9Vchcucke8HwMDaMS63MpQIfQ55z7WqORfuF6tJR9&#10;usHIQOvQcDXIicpNx5dRlHIjW0sXtOzxSWP9fRyNgP1rta/etls9PY/Z19RH/hC/74S4vZkfH4AF&#10;nMMfDBd9UoeSnE5utMqzTkC6vF8TSkGSrVNgFyReJStgJ5rSJEmBlwX//0b5CwAA//8DAFBLAQIt&#10;ABQABgAIAAAAIQC2gziS/gAAAOEBAAATAAAAAAAAAAAAAAAAAAAAAABbQ29udGVudF9UeXBlc10u&#10;eG1sUEsBAi0AFAAGAAgAAAAhADj9If/WAAAAlAEAAAsAAAAAAAAAAAAAAAAALwEAAF9yZWxzLy5y&#10;ZWxzUEsBAi0AFAAGAAgAAAAhAGxZBs6UAgAAKwUAAA4AAAAAAAAAAAAAAAAALgIAAGRycy9lMm9E&#10;b2MueG1sUEsBAi0AFAAGAAgAAAAhAOBnGhLjAAAADgEAAA8AAAAAAAAAAAAAAAAA7gQAAGRycy9k&#10;b3ducmV2LnhtbFBLBQYAAAAABAAEAPMAAAD+BQAAAAA=&#10;" strokecolor="#bfbfbf" strokeweight=".25pt">
              <v:fill rotate="t" focus="100%" type="gradient"/>
              <v:stroke dashstyle="dash"/>
              <v:textbox>
                <w:txbxContent>
                  <w:p w14:paraId="403A9ACD" w14:textId="77777777" w:rsidR="00E51C64" w:rsidRPr="00AF5BC9" w:rsidRDefault="00E51C64" w:rsidP="00E51C64">
                    <w:pPr>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893F38" w:rsidRPr="00893F38">
      <w:rPr>
        <w:noProof/>
        <w:color w:val="000000" w:themeColor="text1"/>
        <w:sz w:val="20"/>
      </w:rPr>
      <w:t>2</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893F38" w:rsidRPr="00893F38">
      <w:rPr>
        <w:noProof/>
        <w:color w:val="000000" w:themeColor="text1"/>
        <w:sz w:val="20"/>
      </w:rPr>
      <w:t>2</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A4378" w14:textId="77777777" w:rsidR="000D0D7A" w:rsidRDefault="000D0D7A" w:rsidP="0053612B">
      <w:pPr>
        <w:spacing w:after="0" w:line="240" w:lineRule="auto"/>
      </w:pPr>
      <w:r>
        <w:separator/>
      </w:r>
    </w:p>
  </w:footnote>
  <w:footnote w:type="continuationSeparator" w:id="0">
    <w:p w14:paraId="4077DCCD" w14:textId="77777777" w:rsidR="000D0D7A" w:rsidRDefault="000D0D7A" w:rsidP="0053612B">
      <w:pPr>
        <w:spacing w:after="0" w:line="240" w:lineRule="auto"/>
      </w:pPr>
      <w:r>
        <w:continuationSeparator/>
      </w:r>
    </w:p>
  </w:footnote>
  <w:footnote w:type="continuationNotice" w:id="1">
    <w:p w14:paraId="2EF5CDB2" w14:textId="77777777" w:rsidR="000D0D7A" w:rsidRDefault="000D0D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10B2D"/>
    <w:multiLevelType w:val="hybridMultilevel"/>
    <w:tmpl w:val="D6C6EA74"/>
    <w:lvl w:ilvl="0" w:tplc="21CE5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954B71"/>
    <w:multiLevelType w:val="hybridMultilevel"/>
    <w:tmpl w:val="000E6C26"/>
    <w:lvl w:ilvl="0" w:tplc="80EC443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2E8F"/>
    <w:rsid w:val="000508EF"/>
    <w:rsid w:val="000A3345"/>
    <w:rsid w:val="000B04E1"/>
    <w:rsid w:val="000C6554"/>
    <w:rsid w:val="000D0D7A"/>
    <w:rsid w:val="000D4F53"/>
    <w:rsid w:val="00103C42"/>
    <w:rsid w:val="00116AFA"/>
    <w:rsid w:val="00121498"/>
    <w:rsid w:val="00123345"/>
    <w:rsid w:val="00133B59"/>
    <w:rsid w:val="001424D6"/>
    <w:rsid w:val="001532D0"/>
    <w:rsid w:val="001718FD"/>
    <w:rsid w:val="001771F9"/>
    <w:rsid w:val="001A1CCF"/>
    <w:rsid w:val="001A1DB3"/>
    <w:rsid w:val="001A2D82"/>
    <w:rsid w:val="001E53CC"/>
    <w:rsid w:val="00272F7B"/>
    <w:rsid w:val="0029583A"/>
    <w:rsid w:val="002A68A6"/>
    <w:rsid w:val="002B20A9"/>
    <w:rsid w:val="002B6848"/>
    <w:rsid w:val="002D4E53"/>
    <w:rsid w:val="002E4943"/>
    <w:rsid w:val="003408B3"/>
    <w:rsid w:val="00342D89"/>
    <w:rsid w:val="003A2EC2"/>
    <w:rsid w:val="003D1776"/>
    <w:rsid w:val="0049208B"/>
    <w:rsid w:val="004A72A4"/>
    <w:rsid w:val="004B41C6"/>
    <w:rsid w:val="004C370C"/>
    <w:rsid w:val="004F13CF"/>
    <w:rsid w:val="0050694F"/>
    <w:rsid w:val="005122FA"/>
    <w:rsid w:val="00524EBF"/>
    <w:rsid w:val="00530234"/>
    <w:rsid w:val="0053612B"/>
    <w:rsid w:val="0055175B"/>
    <w:rsid w:val="005822C2"/>
    <w:rsid w:val="005F583D"/>
    <w:rsid w:val="00601CA8"/>
    <w:rsid w:val="006055D6"/>
    <w:rsid w:val="0060707F"/>
    <w:rsid w:val="00615E6F"/>
    <w:rsid w:val="00626E0F"/>
    <w:rsid w:val="00634187"/>
    <w:rsid w:val="00643D11"/>
    <w:rsid w:val="00645773"/>
    <w:rsid w:val="0067670A"/>
    <w:rsid w:val="0067731A"/>
    <w:rsid w:val="00680041"/>
    <w:rsid w:val="006A2305"/>
    <w:rsid w:val="006B1682"/>
    <w:rsid w:val="006D51A9"/>
    <w:rsid w:val="006E390A"/>
    <w:rsid w:val="007110B0"/>
    <w:rsid w:val="00716BD7"/>
    <w:rsid w:val="00725387"/>
    <w:rsid w:val="007275B1"/>
    <w:rsid w:val="0077193A"/>
    <w:rsid w:val="00772C44"/>
    <w:rsid w:val="007A1A1C"/>
    <w:rsid w:val="007A3D41"/>
    <w:rsid w:val="007A7764"/>
    <w:rsid w:val="007C35A8"/>
    <w:rsid w:val="007D7540"/>
    <w:rsid w:val="008061BC"/>
    <w:rsid w:val="00815C69"/>
    <w:rsid w:val="00826640"/>
    <w:rsid w:val="008320FE"/>
    <w:rsid w:val="00837873"/>
    <w:rsid w:val="0084040C"/>
    <w:rsid w:val="00845575"/>
    <w:rsid w:val="00851773"/>
    <w:rsid w:val="00857478"/>
    <w:rsid w:val="00860F2B"/>
    <w:rsid w:val="00875770"/>
    <w:rsid w:val="0088281D"/>
    <w:rsid w:val="00893F38"/>
    <w:rsid w:val="008D4AFD"/>
    <w:rsid w:val="008E5053"/>
    <w:rsid w:val="008F477F"/>
    <w:rsid w:val="008F72C8"/>
    <w:rsid w:val="008F7313"/>
    <w:rsid w:val="0093541D"/>
    <w:rsid w:val="009367D7"/>
    <w:rsid w:val="00946F12"/>
    <w:rsid w:val="00977ADB"/>
    <w:rsid w:val="009D1A0F"/>
    <w:rsid w:val="009D7FE0"/>
    <w:rsid w:val="009E0FEA"/>
    <w:rsid w:val="009F7232"/>
    <w:rsid w:val="00A61AC9"/>
    <w:rsid w:val="00A76AD3"/>
    <w:rsid w:val="00A97A0B"/>
    <w:rsid w:val="00AB4BAE"/>
    <w:rsid w:val="00AD38CA"/>
    <w:rsid w:val="00AE183E"/>
    <w:rsid w:val="00AF2893"/>
    <w:rsid w:val="00AF5BC9"/>
    <w:rsid w:val="00B01E20"/>
    <w:rsid w:val="00B13C1A"/>
    <w:rsid w:val="00B232AD"/>
    <w:rsid w:val="00B2660B"/>
    <w:rsid w:val="00B2752A"/>
    <w:rsid w:val="00B84E2C"/>
    <w:rsid w:val="00B850C9"/>
    <w:rsid w:val="00B92318"/>
    <w:rsid w:val="00C17A52"/>
    <w:rsid w:val="00C33076"/>
    <w:rsid w:val="00C44650"/>
    <w:rsid w:val="00C67037"/>
    <w:rsid w:val="00C748D1"/>
    <w:rsid w:val="00C8311A"/>
    <w:rsid w:val="00C85C99"/>
    <w:rsid w:val="00CA5A3D"/>
    <w:rsid w:val="00CA5D1C"/>
    <w:rsid w:val="00CB5AF5"/>
    <w:rsid w:val="00CB6093"/>
    <w:rsid w:val="00CC0053"/>
    <w:rsid w:val="00CD02B8"/>
    <w:rsid w:val="00CF7EDA"/>
    <w:rsid w:val="00D15825"/>
    <w:rsid w:val="00D1620D"/>
    <w:rsid w:val="00D26496"/>
    <w:rsid w:val="00D545E4"/>
    <w:rsid w:val="00D760A4"/>
    <w:rsid w:val="00D81F19"/>
    <w:rsid w:val="00E32F53"/>
    <w:rsid w:val="00E46427"/>
    <w:rsid w:val="00E51C64"/>
    <w:rsid w:val="00E5600F"/>
    <w:rsid w:val="00E61EB3"/>
    <w:rsid w:val="00E63874"/>
    <w:rsid w:val="00E83F81"/>
    <w:rsid w:val="00EA0C7A"/>
    <w:rsid w:val="00EE1F69"/>
    <w:rsid w:val="00F03BC8"/>
    <w:rsid w:val="00F06AF1"/>
    <w:rsid w:val="00F074C8"/>
    <w:rsid w:val="00F13990"/>
    <w:rsid w:val="00F344C7"/>
    <w:rsid w:val="00F5403C"/>
    <w:rsid w:val="00F94753"/>
    <w:rsid w:val="00FA2E0B"/>
    <w:rsid w:val="00FA75C8"/>
    <w:rsid w:val="00FE7167"/>
    <w:rsid w:val="00FF66C8"/>
    <w:rsid w:val="79E287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F19"/>
    <w:pPr>
      <w:spacing w:after="160" w:line="259" w:lineRule="auto"/>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pPr>
    <w:rPr>
      <w:rFonts w:ascii="Calibri" w:hAnsi="Calibri"/>
    </w:rPr>
  </w:style>
  <w:style w:type="character" w:customStyle="1" w:styleId="En-tteCar">
    <w:name w:val="En-tête Car"/>
    <w:basedOn w:val="Policepardfaut"/>
    <w:link w:val="En-tte"/>
    <w:uiPriority w:val="99"/>
    <w:rsid w:val="0053612B"/>
    <w:rPr>
      <w:rFonts w:ascii="Calibri" w:hAnsi="Calibri"/>
      <w:sz w:val="24"/>
      <w:szCs w:val="24"/>
    </w:rPr>
  </w:style>
  <w:style w:type="paragraph" w:styleId="Pieddepage">
    <w:name w:val="footer"/>
    <w:basedOn w:val="Normal"/>
    <w:link w:val="PieddepageCar"/>
    <w:uiPriority w:val="99"/>
    <w:unhideWhenUsed/>
    <w:rsid w:val="0053612B"/>
    <w:pPr>
      <w:tabs>
        <w:tab w:val="center" w:pos="4536"/>
        <w:tab w:val="right" w:pos="9072"/>
      </w:tabs>
      <w:spacing w:after="0" w:line="240" w:lineRule="auto"/>
    </w:pPr>
    <w:rPr>
      <w:rFonts w:ascii="Calibri" w:hAnsi="Calibri"/>
    </w:rPr>
  </w:style>
  <w:style w:type="character" w:customStyle="1" w:styleId="PieddepageCar">
    <w:name w:val="Pied de page Car"/>
    <w:basedOn w:val="Policepardfaut"/>
    <w:link w:val="Pieddepage"/>
    <w:uiPriority w:val="99"/>
    <w:rsid w:val="0053612B"/>
    <w:rPr>
      <w:rFonts w:ascii="Calibri" w:hAnsi="Calibri"/>
      <w:sz w:val="24"/>
      <w:szCs w:val="24"/>
    </w:rPr>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5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customStyle="1" w:styleId="Normal1">
    <w:name w:val="Normal1"/>
    <w:rsid w:val="00342D89"/>
    <w:pPr>
      <w:pBdr>
        <w:top w:val="none" w:sz="4" w:space="0" w:color="000000"/>
        <w:left w:val="none" w:sz="4" w:space="0" w:color="000000"/>
        <w:bottom w:val="none" w:sz="4" w:space="0" w:color="000000"/>
        <w:right w:val="none" w:sz="4" w:space="0" w:color="000000"/>
        <w:between w:val="none" w:sz="4" w:space="0" w:color="000000"/>
      </w:pBdr>
      <w:spacing w:line="276" w:lineRule="auto"/>
    </w:pPr>
    <w:rPr>
      <w:rFonts w:eastAsia="Arial" w:cs="Arial"/>
      <w:sz w:val="22"/>
      <w:szCs w:val="22"/>
    </w:rPr>
  </w:style>
  <w:style w:type="paragraph" w:customStyle="1" w:styleId="paragraph">
    <w:name w:val="paragraph"/>
    <w:basedOn w:val="Normal"/>
    <w:rsid w:val="00645773"/>
    <w:pPr>
      <w:spacing w:before="100" w:beforeAutospacing="1" w:after="100" w:afterAutospacing="1" w:line="240" w:lineRule="auto"/>
    </w:pPr>
    <w:rPr>
      <w:rFonts w:ascii="Times New Roman" w:eastAsia="Times New Roman" w:hAnsi="Times New Roman"/>
    </w:rPr>
  </w:style>
  <w:style w:type="character" w:customStyle="1" w:styleId="normaltextrun">
    <w:name w:val="normaltextrun"/>
    <w:basedOn w:val="Policepardfaut"/>
    <w:rsid w:val="00645773"/>
  </w:style>
  <w:style w:type="character" w:customStyle="1" w:styleId="eop">
    <w:name w:val="eop"/>
    <w:basedOn w:val="Policepardfaut"/>
    <w:rsid w:val="00645773"/>
  </w:style>
  <w:style w:type="paragraph" w:styleId="Paragraphedeliste">
    <w:name w:val="List Paragraph"/>
    <w:basedOn w:val="Normal"/>
    <w:uiPriority w:val="34"/>
    <w:qFormat/>
    <w:rsid w:val="00645773"/>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hAnsi="Calibri" w:cs="Calibri"/>
      <w:sz w:val="22"/>
      <w:szCs w:val="22"/>
      <w:lang w:eastAsia="en-US"/>
    </w:rPr>
  </w:style>
  <w:style w:type="paragraph" w:customStyle="1" w:styleId="ECEtitre">
    <w:name w:val="ECEtitre"/>
    <w:basedOn w:val="Normal"/>
    <w:next w:val="Normal"/>
    <w:qFormat/>
    <w:rsid w:val="00645773"/>
    <w:pPr>
      <w:autoSpaceDE w:val="0"/>
      <w:autoSpaceDN w:val="0"/>
      <w:adjustRightInd w:val="0"/>
      <w:spacing w:after="0" w:line="264" w:lineRule="auto"/>
      <w:jc w:val="both"/>
    </w:pPr>
    <w:rPr>
      <w:rFonts w:eastAsia="Times New Roman" w:cs="Arial"/>
      <w:b/>
      <w:sz w:val="20"/>
      <w:szCs w:val="20"/>
      <w:u w:val="single"/>
    </w:rPr>
  </w:style>
  <w:style w:type="paragraph" w:customStyle="1" w:styleId="ECEfiche">
    <w:name w:val="ECEfiche"/>
    <w:basedOn w:val="Titre1"/>
    <w:next w:val="Normal"/>
    <w:qFormat/>
    <w:rsid w:val="00645773"/>
    <w:pPr>
      <w:keepNext w:val="0"/>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spacing w:before="0" w:after="0" w:line="264" w:lineRule="auto"/>
      <w:jc w:val="center"/>
    </w:pPr>
    <w:rPr>
      <w:rFonts w:cs="Arial"/>
      <w:b w:val="0"/>
      <w:color w:val="000000"/>
      <w:kern w:val="0"/>
      <w:sz w:val="20"/>
      <w:szCs w:val="20"/>
    </w:rPr>
  </w:style>
  <w:style w:type="character" w:styleId="Lienhypertexte">
    <w:name w:val="Hyperlink"/>
    <w:basedOn w:val="Policepardfaut"/>
    <w:uiPriority w:val="99"/>
    <w:unhideWhenUsed/>
    <w:rsid w:val="00845575"/>
    <w:rPr>
      <w:color w:val="0000FF" w:themeColor="hyperlink"/>
      <w:u w:val="single"/>
    </w:rPr>
  </w:style>
  <w:style w:type="character" w:styleId="Mentionnonrsolue">
    <w:name w:val="Unresolved Mention"/>
    <w:basedOn w:val="Policepardfaut"/>
    <w:uiPriority w:val="99"/>
    <w:semiHidden/>
    <w:unhideWhenUsed/>
    <w:rsid w:val="0084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CC415616A63B489F811FEBA23B2106" ma:contentTypeVersion="8" ma:contentTypeDescription="Crée un document." ma:contentTypeScope="" ma:versionID="a37bba2bb4fcc557f3e1981d73f89f70">
  <xsd:schema xmlns:xsd="http://www.w3.org/2001/XMLSchema" xmlns:xs="http://www.w3.org/2001/XMLSchema" xmlns:p="http://schemas.microsoft.com/office/2006/metadata/properties" xmlns:ns2="29085bd2-8046-4e2c-88d4-34a20d7200ff" xmlns:ns3="6d965604-aafa-48a8-992f-4060985e3362" targetNamespace="http://schemas.microsoft.com/office/2006/metadata/properties" ma:root="true" ma:fieldsID="16fe8de850a919537d7d9c13a884d5e1" ns2:_="" ns3:_="">
    <xsd:import namespace="29085bd2-8046-4e2c-88d4-34a20d7200ff"/>
    <xsd:import namespace="6d965604-aafa-48a8-992f-4060985e33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85bd2-8046-4e2c-88d4-34a20d720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5604-aafa-48a8-992f-4060985e336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DEAAF-16C6-4B50-96A3-4B8720FEC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7899C-6934-44D5-8EC6-9CF87115D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85bd2-8046-4e2c-88d4-34a20d7200ff"/>
    <ds:schemaRef ds:uri="6d965604-aafa-48a8-992f-4060985e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A624B-9CC0-4122-83AF-87CB78FBF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2020-05-17T19:13:00Z</dcterms:created>
  <dcterms:modified xsi:type="dcterms:W3CDTF">2020-05-17T19:20:00Z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0x010100ECCC415616A63B489F811FEBA23B2106</vt:lpwstr>
  </property>
</Properties>
</file>