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81" w:tblpY="122"/>
        <w:tblW w:w="9889" w:type="dxa"/>
        <w:tblLook w:val="04A0" w:firstRow="1" w:lastRow="0" w:firstColumn="1" w:lastColumn="0" w:noHBand="0" w:noVBand="1"/>
      </w:tblPr>
      <w:tblGrid>
        <w:gridCol w:w="9889"/>
      </w:tblGrid>
      <w:tr w:rsidR="0089178E" w14:paraId="4713D40A" w14:textId="77777777" w:rsidTr="002356EA">
        <w:tc>
          <w:tcPr>
            <w:tcW w:w="9889" w:type="dxa"/>
          </w:tcPr>
          <w:p w14:paraId="69F069B2" w14:textId="39197185" w:rsidR="0089178E" w:rsidRDefault="0089178E" w:rsidP="002356EA">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5273B2">
              <w:rPr>
                <w:rFonts w:eastAsia="Times New Roman"/>
                <w:b/>
                <w:szCs w:val="22"/>
              </w:rPr>
              <w:tab/>
              <w:t>2020</w:t>
            </w:r>
            <w:r w:rsidR="005273B2">
              <w:rPr>
                <w:rFonts w:eastAsia="Times New Roman"/>
                <w:b/>
                <w:szCs w:val="22"/>
              </w:rPr>
              <w:br/>
            </w:r>
            <w:hyperlink r:id="rId7" w:history="1">
              <w:r w:rsidR="005273B2" w:rsidRPr="0075725F">
                <w:rPr>
                  <w:rStyle w:val="Lienhypertexte"/>
                  <w:rFonts w:eastAsia="Times New Roman"/>
                  <w:b/>
                  <w:szCs w:val="22"/>
                </w:rPr>
                <w:t>http://labolycee.org</w:t>
              </w:r>
            </w:hyperlink>
            <w:r w:rsidR="005273B2">
              <w:rPr>
                <w:rFonts w:eastAsia="Times New Roman"/>
                <w:b/>
                <w:color w:val="595959" w:themeColor="text1" w:themeTint="A6"/>
                <w:szCs w:val="22"/>
              </w:rPr>
              <w:t xml:space="preserve"> </w:t>
            </w:r>
          </w:p>
        </w:tc>
      </w:tr>
      <w:tr w:rsidR="0089178E" w14:paraId="129B2E26" w14:textId="77777777" w:rsidTr="002356EA">
        <w:tc>
          <w:tcPr>
            <w:tcW w:w="9889" w:type="dxa"/>
          </w:tcPr>
          <w:p w14:paraId="2EF13902" w14:textId="7010AE59" w:rsidR="0089178E" w:rsidRPr="00893F38" w:rsidRDefault="0089178E" w:rsidP="002356EA">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5273B2">
              <w:rPr>
                <w:rFonts w:eastAsia="Times New Roman"/>
                <w:color w:val="000000" w:themeColor="text1"/>
                <w:sz w:val="20"/>
                <w:szCs w:val="22"/>
              </w:rPr>
              <w:tab/>
            </w:r>
            <w:r w:rsidR="005273B2">
              <w:rPr>
                <w:rFonts w:eastAsia="Times New Roman"/>
                <w:color w:val="000000" w:themeColor="text1"/>
                <w:sz w:val="20"/>
                <w:szCs w:val="22"/>
              </w:rPr>
              <w:tab/>
            </w:r>
            <w:r w:rsidR="005273B2">
              <w:rPr>
                <w:rFonts w:eastAsia="Times New Roman"/>
                <w:color w:val="000000" w:themeColor="text1"/>
                <w:sz w:val="20"/>
                <w:szCs w:val="22"/>
              </w:rPr>
              <w:tab/>
            </w:r>
            <w:r w:rsidR="005273B2">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53E1460" w:rsidR="0089178E" w:rsidRPr="00626E0F" w:rsidRDefault="0089178E" w:rsidP="005273B2">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w:t>
            </w:r>
            <w:r w:rsidR="005273B2">
              <w:rPr>
                <w:rFonts w:ascii="MS Gothic" w:eastAsia="MS Gothic" w:hAnsi="MS Gothic"/>
                <w:color w:val="000000" w:themeColor="text1"/>
                <w:sz w:val="20"/>
                <w:szCs w:val="22"/>
              </w:rPr>
              <w:tab/>
            </w:r>
            <w:r w:rsidR="005273B2">
              <w:rPr>
                <w:rFonts w:ascii="MS Gothic" w:eastAsia="MS Gothic" w:hAnsi="MS Gothic"/>
                <w:color w:val="000000" w:themeColor="text1"/>
                <w:sz w:val="20"/>
                <w:szCs w:val="22"/>
              </w:rPr>
              <w:tab/>
            </w:r>
            <w:r w:rsidR="005273B2">
              <w:rPr>
                <w:rFonts w:ascii="MS Gothic" w:eastAsia="MS Gothic" w:hAnsi="MS Gothic"/>
                <w:color w:val="000000" w:themeColor="text1"/>
                <w:sz w:val="20"/>
                <w:szCs w:val="22"/>
              </w:rPr>
              <w:tab/>
            </w:r>
            <w:r w:rsidR="005273B2">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5241894" w:rsidR="0089178E" w:rsidRPr="00626E0F" w:rsidRDefault="0089178E" w:rsidP="005273B2">
            <w:pPr>
              <w:spacing w:line="240" w:lineRule="auto"/>
              <w:ind w:left="0"/>
              <w:rPr>
                <w:rFonts w:eastAsia="Times New Roman"/>
                <w:b/>
                <w:color w:val="000000" w:themeColor="text1"/>
                <w:sz w:val="22"/>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5273B2">
              <w:rPr>
                <w:rFonts w:eastAsia="Times New Roman"/>
                <w:color w:val="000000" w:themeColor="text1"/>
                <w:sz w:val="20"/>
                <w:szCs w:val="22"/>
              </w:rPr>
              <w:tab/>
            </w:r>
            <w:r w:rsidR="005273B2">
              <w:rPr>
                <w:rFonts w:eastAsia="Times New Roman"/>
                <w:color w:val="000000" w:themeColor="text1"/>
                <w:sz w:val="20"/>
                <w:szCs w:val="22"/>
              </w:rPr>
              <w:tab/>
            </w:r>
            <w:r w:rsidR="005273B2">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38EC0E10" w14:textId="77777777" w:rsidR="006346FB" w:rsidRPr="006346FB" w:rsidRDefault="006346FB" w:rsidP="006346FB">
      <w:pPr>
        <w:spacing w:after="0"/>
        <w:ind w:left="0"/>
        <w:jc w:val="center"/>
        <w:rPr>
          <w:rFonts w:cs="Arial"/>
          <w:b/>
        </w:rPr>
      </w:pPr>
      <w:r w:rsidRPr="006346FB">
        <w:rPr>
          <w:rFonts w:cs="Arial"/>
          <w:b/>
        </w:rPr>
        <w:t>Une odeur de soufre dans l’air (10 points)</w:t>
      </w:r>
    </w:p>
    <w:p w14:paraId="52E43F2C" w14:textId="76F535C1" w:rsidR="006346FB" w:rsidRPr="006346FB" w:rsidRDefault="006346FB" w:rsidP="006346FB">
      <w:pPr>
        <w:spacing w:after="0"/>
        <w:ind w:left="0"/>
        <w:rPr>
          <w:rFonts w:cs="Arial"/>
          <w:b/>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3685"/>
      </w:tblGrid>
      <w:tr w:rsidR="006346FB" w:rsidRPr="006346FB" w14:paraId="66C46308" w14:textId="77777777" w:rsidTr="007F268C">
        <w:tc>
          <w:tcPr>
            <w:tcW w:w="5637" w:type="dxa"/>
          </w:tcPr>
          <w:p w14:paraId="19586024" w14:textId="77777777" w:rsidR="006346FB" w:rsidRPr="006346FB" w:rsidRDefault="006346FB" w:rsidP="005B2A43">
            <w:pPr>
              <w:spacing w:after="0"/>
              <w:ind w:left="-105"/>
              <w:jc w:val="both"/>
              <w:rPr>
                <w:rFonts w:cs="Arial"/>
                <w:b/>
              </w:rPr>
            </w:pPr>
            <w:r w:rsidRPr="006346FB">
              <w:rPr>
                <w:rFonts w:cs="Arial"/>
              </w:rPr>
              <w:t>Des algues provenant de la haute mer s’échouent sur les côtes martiniquaises. Ces algues ne sont pas toxiques en elles-mêmes. Mais elles meurent une fois échouées sur les plages. Des dégagements importants de gaz sont produits lors de leur décomposition, notamment du sulfure d’hydrogène H</w:t>
            </w:r>
            <w:r w:rsidRPr="006346FB">
              <w:rPr>
                <w:rFonts w:cs="Arial"/>
                <w:vertAlign w:val="subscript"/>
              </w:rPr>
              <w:t>2</w:t>
            </w:r>
            <w:r w:rsidRPr="006346FB">
              <w:rPr>
                <w:rFonts w:cs="Arial"/>
              </w:rPr>
              <w:t xml:space="preserve">S, qui provoquent des </w:t>
            </w:r>
            <w:r w:rsidRPr="006346FB">
              <w:rPr>
                <w:rFonts w:cs="Arial"/>
                <w:bCs/>
              </w:rPr>
              <w:t xml:space="preserve">nuisances olfactives </w:t>
            </w:r>
            <w:r w:rsidRPr="006346FB">
              <w:rPr>
                <w:rFonts w:cs="Arial"/>
              </w:rPr>
              <w:t xml:space="preserve">et des </w:t>
            </w:r>
            <w:r w:rsidRPr="006346FB">
              <w:rPr>
                <w:rFonts w:cs="Arial"/>
                <w:bCs/>
              </w:rPr>
              <w:t xml:space="preserve">troubles sanitaires. </w:t>
            </w:r>
          </w:p>
        </w:tc>
        <w:tc>
          <w:tcPr>
            <w:tcW w:w="3685" w:type="dxa"/>
          </w:tcPr>
          <w:p w14:paraId="6E6D00CB" w14:textId="381C13FE" w:rsidR="006346FB" w:rsidRPr="006346FB" w:rsidRDefault="005B2A43" w:rsidP="006346FB">
            <w:pPr>
              <w:spacing w:after="0"/>
              <w:ind w:left="0"/>
              <w:rPr>
                <w:rFonts w:cs="Arial"/>
                <w:b/>
              </w:rPr>
            </w:pPr>
            <w:r w:rsidRPr="006346FB">
              <w:rPr>
                <w:rFonts w:cs="Arial"/>
                <w:noProof/>
              </w:rPr>
              <w:drawing>
                <wp:anchor distT="0" distB="0" distL="114300" distR="114300" simplePos="0" relativeHeight="251662848" behindDoc="0" locked="0" layoutInCell="1" allowOverlap="1" wp14:anchorId="30A9C04D" wp14:editId="2AD295A3">
                  <wp:simplePos x="0" y="0"/>
                  <wp:positionH relativeFrom="column">
                    <wp:posOffset>297815</wp:posOffset>
                  </wp:positionH>
                  <wp:positionV relativeFrom="paragraph">
                    <wp:posOffset>-113665</wp:posOffset>
                  </wp:positionV>
                  <wp:extent cx="2428875" cy="1619250"/>
                  <wp:effectExtent l="0" t="0" r="9525"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anchor>
              </w:drawing>
            </w:r>
          </w:p>
        </w:tc>
      </w:tr>
    </w:tbl>
    <w:p w14:paraId="17180A57" w14:textId="77777777" w:rsidR="006346FB" w:rsidRPr="006346FB" w:rsidRDefault="006346FB" w:rsidP="005273B2">
      <w:pPr>
        <w:spacing w:after="0"/>
        <w:ind w:left="0"/>
        <w:jc w:val="both"/>
        <w:rPr>
          <w:rFonts w:cs="Arial"/>
        </w:rPr>
      </w:pPr>
      <w:r w:rsidRPr="006346FB">
        <w:rPr>
          <w:rFonts w:cs="Arial"/>
        </w:rPr>
        <w:t xml:space="preserve">Selon les doses, les effets peuvent être une </w:t>
      </w:r>
      <w:r w:rsidRPr="006346FB">
        <w:rPr>
          <w:rFonts w:cs="Arial"/>
          <w:bCs/>
        </w:rPr>
        <w:t xml:space="preserve">irritation des yeux </w:t>
      </w:r>
      <w:r w:rsidRPr="006346FB">
        <w:rPr>
          <w:rFonts w:cs="Arial"/>
        </w:rPr>
        <w:t xml:space="preserve">(conjonctivite, gène à la lumière vive) et </w:t>
      </w:r>
      <w:r w:rsidRPr="006346FB">
        <w:rPr>
          <w:rFonts w:cs="Arial"/>
          <w:bCs/>
        </w:rPr>
        <w:t>des voies respiratoires</w:t>
      </w:r>
      <w:r w:rsidRPr="006346FB">
        <w:rPr>
          <w:rFonts w:cs="Arial"/>
        </w:rPr>
        <w:t xml:space="preserve"> (rhinite, enrouement, toux, douleur thoracique, </w:t>
      </w:r>
      <w:proofErr w:type="spellStart"/>
      <w:r w:rsidRPr="006346FB">
        <w:rPr>
          <w:rFonts w:cs="Arial"/>
        </w:rPr>
        <w:t>etc</w:t>
      </w:r>
      <w:proofErr w:type="spellEnd"/>
      <w:r w:rsidRPr="006346FB">
        <w:rPr>
          <w:rFonts w:cs="Arial"/>
        </w:rPr>
        <w:t>). Les personnes asthmatiques y sont particulièrement sensibles, ainsi que les jeunes enfants et les femmes enceintes.</w:t>
      </w:r>
    </w:p>
    <w:p w14:paraId="10517CAE" w14:textId="77777777" w:rsidR="006346FB" w:rsidRPr="006346FB" w:rsidRDefault="006346FB" w:rsidP="005273B2">
      <w:pPr>
        <w:spacing w:after="0"/>
        <w:ind w:left="0"/>
        <w:jc w:val="both"/>
        <w:rPr>
          <w:rFonts w:cs="Arial"/>
          <w:i/>
        </w:rPr>
      </w:pPr>
      <w:r w:rsidRPr="006346FB">
        <w:rPr>
          <w:rFonts w:cs="Arial"/>
          <w:i/>
        </w:rPr>
        <w:t>https://www.martinique.ars.sante.fr/les-algues-sargasses-une-nouveau-phenomene-sanitaire</w:t>
      </w:r>
    </w:p>
    <w:p w14:paraId="2128E738" w14:textId="77777777" w:rsidR="006346FB" w:rsidRPr="006346FB" w:rsidRDefault="006346FB" w:rsidP="005273B2">
      <w:pPr>
        <w:spacing w:after="0"/>
        <w:ind w:left="0"/>
        <w:jc w:val="both"/>
        <w:rPr>
          <w:rFonts w:cs="Arial"/>
        </w:rPr>
      </w:pPr>
      <w:r w:rsidRPr="006346FB">
        <w:rPr>
          <w:rFonts w:cs="Arial"/>
        </w:rPr>
        <w:t>On se propose d’étudier la structure la molécule de sulfure d’hydrogène ainsi que ses propriétés et de les comparer à celles d’autres molécules connues.</w:t>
      </w:r>
    </w:p>
    <w:p w14:paraId="393B182D" w14:textId="77777777" w:rsidR="006346FB" w:rsidRPr="006346FB" w:rsidRDefault="006346FB" w:rsidP="006346FB">
      <w:pPr>
        <w:spacing w:after="0"/>
        <w:ind w:left="0"/>
        <w:rPr>
          <w:rFonts w:cs="Arial"/>
          <w:b/>
        </w:rPr>
      </w:pPr>
    </w:p>
    <w:p w14:paraId="2B1B3F1B" w14:textId="77777777" w:rsidR="006346FB" w:rsidRPr="006346FB" w:rsidRDefault="006346FB" w:rsidP="006346FB">
      <w:pPr>
        <w:spacing w:after="0"/>
        <w:ind w:left="0"/>
        <w:rPr>
          <w:rFonts w:cs="Arial"/>
        </w:rPr>
      </w:pPr>
      <w:r w:rsidRPr="006346FB">
        <w:rPr>
          <w:rFonts w:cs="Arial"/>
          <w:b/>
        </w:rPr>
        <w:t>Données</w:t>
      </w:r>
      <w:r w:rsidRPr="006346FB">
        <w:rPr>
          <w:rFonts w:cs="Arial"/>
        </w:rPr>
        <w:t xml:space="preserve"> </w:t>
      </w:r>
    </w:p>
    <w:p w14:paraId="6C181646" w14:textId="77777777" w:rsidR="006346FB" w:rsidRDefault="006346FB" w:rsidP="006346FB">
      <w:pPr>
        <w:spacing w:after="0"/>
        <w:ind w:left="0"/>
        <w:rPr>
          <w:rFonts w:cs="Arial"/>
        </w:rPr>
      </w:pPr>
    </w:p>
    <w:p w14:paraId="6593A37D" w14:textId="0F3CD226" w:rsidR="006346FB" w:rsidRDefault="006346FB" w:rsidP="006346FB">
      <w:pPr>
        <w:spacing w:after="0"/>
        <w:ind w:left="0"/>
        <w:rPr>
          <w:rFonts w:cs="Arial"/>
        </w:rPr>
      </w:pPr>
      <w:r w:rsidRPr="006346FB">
        <w:rPr>
          <w:rFonts w:cs="Arial"/>
        </w:rPr>
        <w:t>Tableau périodique des éléments et échelle d’électronégativité de Pauling</w:t>
      </w:r>
    </w:p>
    <w:p w14:paraId="7C18B8FF" w14:textId="2B56A6F7" w:rsidR="006346FB" w:rsidRPr="006346FB" w:rsidRDefault="006346FB" w:rsidP="006346FB">
      <w:pPr>
        <w:spacing w:after="0"/>
        <w:ind w:left="0"/>
        <w:rPr>
          <w:rFonts w:cs="Arial"/>
        </w:rPr>
      </w:pPr>
      <w:r w:rsidRPr="006346FB">
        <w:rPr>
          <w:rFonts w:cs="Arial"/>
          <w:noProof/>
        </w:rPr>
        <mc:AlternateContent>
          <mc:Choice Requires="wps">
            <w:drawing>
              <wp:anchor distT="45720" distB="45720" distL="114300" distR="114300" simplePos="0" relativeHeight="251659776" behindDoc="0" locked="0" layoutInCell="1" allowOverlap="1" wp14:anchorId="5558070F" wp14:editId="36501D2F">
                <wp:simplePos x="0" y="0"/>
                <wp:positionH relativeFrom="column">
                  <wp:posOffset>-18415</wp:posOffset>
                </wp:positionH>
                <wp:positionV relativeFrom="paragraph">
                  <wp:posOffset>152400</wp:posOffset>
                </wp:positionV>
                <wp:extent cx="6105525" cy="3800475"/>
                <wp:effectExtent l="0" t="0" r="28575"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800475"/>
                        </a:xfrm>
                        <a:prstGeom prst="rect">
                          <a:avLst/>
                        </a:prstGeom>
                        <a:solidFill>
                          <a:srgbClr val="FFFFFF"/>
                        </a:solidFill>
                        <a:ln w="9525">
                          <a:solidFill>
                            <a:srgbClr val="000000"/>
                          </a:solidFill>
                          <a:miter lim="800000"/>
                          <a:headEnd/>
                          <a:tailEnd/>
                        </a:ln>
                      </wps:spPr>
                      <wps:txbx>
                        <w:txbxContent>
                          <w:p w14:paraId="19B4317F" w14:textId="77777777" w:rsidR="006346FB" w:rsidRDefault="006346FB" w:rsidP="006346FB">
                            <w:r>
                              <w:rPr>
                                <w:noProof/>
                              </w:rPr>
                              <w:drawing>
                                <wp:inline distT="0" distB="0" distL="0" distR="0" wp14:anchorId="73596695" wp14:editId="47C1470F">
                                  <wp:extent cx="5753100" cy="3095625"/>
                                  <wp:effectExtent l="0" t="0" r="0"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p w14:paraId="30DB97C0" w14:textId="77777777" w:rsidR="006346FB" w:rsidRPr="004C2427" w:rsidRDefault="006346FB" w:rsidP="006346FB">
                            <w:pPr>
                              <w:jc w:val="right"/>
                              <w:rPr>
                                <w:rFonts w:cs="Arial"/>
                                <w:i/>
                                <w:sz w:val="20"/>
                                <w:szCs w:val="20"/>
                              </w:rPr>
                            </w:pPr>
                            <w:r w:rsidRPr="004C2427">
                              <w:rPr>
                                <w:rFonts w:cs="Arial"/>
                                <w:i/>
                                <w:sz w:val="20"/>
                                <w:szCs w:val="20"/>
                              </w:rPr>
                              <w:t>https://fr.wikipedia.org/wiki/électronégativité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8070F" id="_x0000_t202" coordsize="21600,21600" o:spt="202" path="m,l,21600r21600,l21600,xe">
                <v:stroke joinstyle="miter"/>
                <v:path gradientshapeok="t" o:connecttype="rect"/>
              </v:shapetype>
              <v:shape id="Zone de texte 2" o:spid="_x0000_s1026" type="#_x0000_t202" style="position:absolute;margin-left:-1.45pt;margin-top:12pt;width:480.75pt;height:299.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">
                <v:textbox>
                  <w:txbxContent>
                    <w:p w14:paraId="19B4317F" w14:textId="77777777" w:rsidR="006346FB" w:rsidRDefault="006346FB" w:rsidP="006346FB">
                      <w:r>
                        <w:rPr>
                          <w:noProof/>
                        </w:rPr>
                        <w:drawing>
                          <wp:inline distT="0" distB="0" distL="0" distR="0" wp14:anchorId="73596695" wp14:editId="47C1470F">
                            <wp:extent cx="5753100" cy="3095625"/>
                            <wp:effectExtent l="0" t="0" r="0"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095625"/>
                                    </a:xfrm>
                                    <a:prstGeom prst="rect">
                                      <a:avLst/>
                                    </a:prstGeom>
                                    <a:noFill/>
                                    <a:ln>
                                      <a:noFill/>
                                    </a:ln>
                                  </pic:spPr>
                                </pic:pic>
                              </a:graphicData>
                            </a:graphic>
                          </wp:inline>
                        </w:drawing>
                      </w:r>
                    </w:p>
                    <w:p w14:paraId="30DB97C0" w14:textId="77777777" w:rsidR="006346FB" w:rsidRPr="004C2427" w:rsidRDefault="006346FB" w:rsidP="006346FB">
                      <w:pPr>
                        <w:jc w:val="right"/>
                        <w:rPr>
                          <w:rFonts w:cs="Arial"/>
                          <w:i/>
                          <w:sz w:val="20"/>
                          <w:szCs w:val="20"/>
                        </w:rPr>
                      </w:pPr>
                      <w:r w:rsidRPr="004C2427">
                        <w:rPr>
                          <w:rFonts w:cs="Arial"/>
                          <w:i/>
                          <w:sz w:val="20"/>
                          <w:szCs w:val="20"/>
                        </w:rPr>
                        <w:t>https://fr.wikipedia.org/wiki/électronégativité</w:t>
                      </w:r>
                    </w:p>
                  </w:txbxContent>
                </v:textbox>
                <w10:wrap type="square"/>
              </v:shape>
            </w:pict>
          </mc:Fallback>
        </mc:AlternateContent>
      </w:r>
    </w:p>
    <w:p w14:paraId="2157E5B6" w14:textId="77777777" w:rsidR="005273B2" w:rsidRDefault="005273B2" w:rsidP="006346FB">
      <w:pPr>
        <w:spacing w:after="0"/>
        <w:ind w:left="0"/>
        <w:rPr>
          <w:rFonts w:cs="Arial"/>
        </w:rPr>
      </w:pPr>
    </w:p>
    <w:p w14:paraId="58227351" w14:textId="77777777" w:rsidR="005273B2" w:rsidRDefault="005273B2" w:rsidP="006346FB">
      <w:pPr>
        <w:spacing w:after="0"/>
        <w:ind w:left="0"/>
        <w:rPr>
          <w:rFonts w:cs="Arial"/>
        </w:rPr>
      </w:pPr>
    </w:p>
    <w:p w14:paraId="1858AE9E" w14:textId="77777777" w:rsidR="005273B2" w:rsidRDefault="005273B2" w:rsidP="006346FB">
      <w:pPr>
        <w:spacing w:after="0"/>
        <w:ind w:left="0"/>
        <w:rPr>
          <w:rFonts w:cs="Arial"/>
        </w:rPr>
      </w:pPr>
    </w:p>
    <w:p w14:paraId="48DAFD18" w14:textId="77777777" w:rsidR="005273B2" w:rsidRDefault="005273B2" w:rsidP="006346FB">
      <w:pPr>
        <w:spacing w:after="0"/>
        <w:ind w:left="0"/>
        <w:rPr>
          <w:rFonts w:cs="Arial"/>
        </w:rPr>
      </w:pPr>
    </w:p>
    <w:p w14:paraId="05794659" w14:textId="77777777" w:rsidR="005273B2" w:rsidRDefault="005273B2" w:rsidP="006346FB">
      <w:pPr>
        <w:spacing w:after="0"/>
        <w:ind w:left="0"/>
        <w:rPr>
          <w:rFonts w:cs="Arial"/>
        </w:rPr>
      </w:pPr>
    </w:p>
    <w:p w14:paraId="6083CA5E" w14:textId="77777777" w:rsidR="005273B2" w:rsidRDefault="005273B2" w:rsidP="006346FB">
      <w:pPr>
        <w:spacing w:after="0"/>
        <w:ind w:left="0"/>
        <w:rPr>
          <w:rFonts w:cs="Arial"/>
        </w:rPr>
      </w:pPr>
    </w:p>
    <w:p w14:paraId="416C7667" w14:textId="77777777" w:rsidR="005273B2" w:rsidRDefault="005273B2" w:rsidP="006346FB">
      <w:pPr>
        <w:spacing w:after="0"/>
        <w:ind w:left="0"/>
        <w:rPr>
          <w:rFonts w:cs="Arial"/>
        </w:rPr>
      </w:pPr>
    </w:p>
    <w:p w14:paraId="24400C38" w14:textId="77777777" w:rsidR="005273B2" w:rsidRDefault="005273B2" w:rsidP="006346FB">
      <w:pPr>
        <w:spacing w:after="0"/>
        <w:ind w:left="0"/>
        <w:rPr>
          <w:rFonts w:cs="Arial"/>
        </w:rPr>
      </w:pPr>
    </w:p>
    <w:p w14:paraId="467C0FED" w14:textId="77777777" w:rsidR="005273B2" w:rsidRDefault="005273B2" w:rsidP="006346FB">
      <w:pPr>
        <w:spacing w:after="0"/>
        <w:ind w:left="0"/>
        <w:rPr>
          <w:rFonts w:cs="Arial"/>
        </w:rPr>
      </w:pPr>
    </w:p>
    <w:p w14:paraId="49C91053" w14:textId="77777777" w:rsidR="005273B2" w:rsidRDefault="005273B2" w:rsidP="006346FB">
      <w:pPr>
        <w:spacing w:after="0"/>
        <w:ind w:left="0"/>
        <w:rPr>
          <w:rFonts w:cs="Arial"/>
        </w:rPr>
      </w:pPr>
    </w:p>
    <w:p w14:paraId="03507DAD" w14:textId="77777777" w:rsidR="005273B2" w:rsidRDefault="005273B2" w:rsidP="006346FB">
      <w:pPr>
        <w:spacing w:after="0"/>
        <w:ind w:left="0"/>
        <w:rPr>
          <w:rFonts w:cs="Arial"/>
        </w:rPr>
      </w:pPr>
    </w:p>
    <w:p w14:paraId="7AE9E304" w14:textId="77777777" w:rsidR="005273B2" w:rsidRDefault="005273B2" w:rsidP="006346FB">
      <w:pPr>
        <w:spacing w:after="0"/>
        <w:ind w:left="0"/>
        <w:rPr>
          <w:rFonts w:cs="Arial"/>
        </w:rPr>
      </w:pPr>
    </w:p>
    <w:p w14:paraId="7F0F6E76" w14:textId="77777777" w:rsidR="005273B2" w:rsidRDefault="005273B2" w:rsidP="006346FB">
      <w:pPr>
        <w:spacing w:after="0"/>
        <w:ind w:left="0"/>
        <w:rPr>
          <w:rFonts w:cs="Arial"/>
        </w:rPr>
      </w:pPr>
    </w:p>
    <w:p w14:paraId="3CB07338" w14:textId="77777777" w:rsidR="005273B2" w:rsidRDefault="005273B2" w:rsidP="006346FB">
      <w:pPr>
        <w:spacing w:after="0"/>
        <w:ind w:left="0"/>
        <w:rPr>
          <w:rFonts w:cs="Arial"/>
        </w:rPr>
      </w:pPr>
    </w:p>
    <w:p w14:paraId="4E48F216" w14:textId="77777777" w:rsidR="005273B2" w:rsidRDefault="005273B2" w:rsidP="006346FB">
      <w:pPr>
        <w:spacing w:after="0"/>
        <w:ind w:left="0"/>
        <w:rPr>
          <w:rFonts w:cs="Arial"/>
        </w:rPr>
      </w:pPr>
    </w:p>
    <w:p w14:paraId="3678048B" w14:textId="77777777" w:rsidR="005273B2" w:rsidRDefault="005273B2" w:rsidP="006346FB">
      <w:pPr>
        <w:spacing w:after="0"/>
        <w:ind w:left="0"/>
        <w:rPr>
          <w:rFonts w:cs="Arial"/>
        </w:rPr>
      </w:pPr>
    </w:p>
    <w:p w14:paraId="4E0ED4CE" w14:textId="77777777" w:rsidR="005273B2" w:rsidRDefault="005273B2" w:rsidP="006346FB">
      <w:pPr>
        <w:spacing w:after="0"/>
        <w:ind w:left="0"/>
        <w:rPr>
          <w:rFonts w:cs="Arial"/>
        </w:rPr>
      </w:pPr>
    </w:p>
    <w:p w14:paraId="622A4BDE" w14:textId="77777777" w:rsidR="005273B2" w:rsidRDefault="005273B2" w:rsidP="006346FB">
      <w:pPr>
        <w:spacing w:after="0"/>
        <w:ind w:left="0"/>
        <w:rPr>
          <w:rFonts w:cs="Arial"/>
        </w:rPr>
      </w:pPr>
    </w:p>
    <w:p w14:paraId="17F3530A" w14:textId="77777777" w:rsidR="005273B2" w:rsidRDefault="005273B2" w:rsidP="006346FB">
      <w:pPr>
        <w:spacing w:after="0"/>
        <w:ind w:left="0"/>
        <w:rPr>
          <w:rFonts w:cs="Arial"/>
        </w:rPr>
      </w:pPr>
    </w:p>
    <w:p w14:paraId="69699DFD" w14:textId="77777777" w:rsidR="005273B2" w:rsidRDefault="005273B2" w:rsidP="006346FB">
      <w:pPr>
        <w:spacing w:after="0"/>
        <w:ind w:left="0"/>
        <w:rPr>
          <w:rFonts w:cs="Arial"/>
        </w:rPr>
      </w:pPr>
    </w:p>
    <w:p w14:paraId="69BD013E" w14:textId="12E58D34" w:rsidR="005273B2" w:rsidRDefault="005273B2">
      <w:pPr>
        <w:spacing w:after="0" w:line="240" w:lineRule="auto"/>
        <w:ind w:left="0"/>
        <w:rPr>
          <w:rFonts w:cs="Arial"/>
        </w:rPr>
      </w:pPr>
      <w:r>
        <w:rPr>
          <w:rFonts w:cs="Arial"/>
        </w:rPr>
        <w:br w:type="page"/>
      </w:r>
    </w:p>
    <w:p w14:paraId="6BF3DE4E" w14:textId="13DEE9D3" w:rsidR="005273B2" w:rsidRDefault="006346FB" w:rsidP="005273B2">
      <w:pPr>
        <w:spacing w:after="0"/>
        <w:ind w:left="0"/>
        <w:jc w:val="center"/>
        <w:rPr>
          <w:rFonts w:cs="Arial"/>
        </w:rPr>
      </w:pPr>
      <w:r w:rsidRPr="006346FB">
        <w:rPr>
          <w:rFonts w:cs="Arial"/>
        </w:rPr>
        <w:lastRenderedPageBreak/>
        <w:t>Table de données pour la spectroscopie infrarouge</w:t>
      </w:r>
    </w:p>
    <w:p w14:paraId="46ED83AA" w14:textId="77777777" w:rsidR="006346FB" w:rsidRPr="006346FB" w:rsidRDefault="006346FB" w:rsidP="006346FB">
      <w:pPr>
        <w:spacing w:after="0"/>
        <w:ind w:left="0"/>
        <w:rPr>
          <w:rFonts w:cs="Arial"/>
        </w:rPr>
      </w:pPr>
    </w:p>
    <w:tbl>
      <w:tblPr>
        <w:tblW w:w="0" w:type="auto"/>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53"/>
        <w:gridCol w:w="2751"/>
        <w:gridCol w:w="2685"/>
      </w:tblGrid>
      <w:tr w:rsidR="006346FB" w:rsidRPr="006346FB" w14:paraId="2D3CF8C5" w14:textId="77777777" w:rsidTr="007F268C">
        <w:tc>
          <w:tcPr>
            <w:tcW w:w="3053" w:type="dxa"/>
            <w:vAlign w:val="center"/>
          </w:tcPr>
          <w:p w14:paraId="05A445C2" w14:textId="77777777" w:rsidR="006346FB" w:rsidRPr="006346FB" w:rsidRDefault="006346FB" w:rsidP="006346FB">
            <w:pPr>
              <w:spacing w:after="0"/>
              <w:ind w:left="0"/>
              <w:rPr>
                <w:rFonts w:cs="Arial"/>
                <w:b/>
              </w:rPr>
            </w:pPr>
            <w:r w:rsidRPr="006346FB">
              <w:rPr>
                <w:rFonts w:cs="Arial"/>
                <w:b/>
              </w:rPr>
              <w:t>Liaison</w:t>
            </w:r>
          </w:p>
        </w:tc>
        <w:tc>
          <w:tcPr>
            <w:tcW w:w="2751" w:type="dxa"/>
            <w:vAlign w:val="center"/>
          </w:tcPr>
          <w:p w14:paraId="0A14DADA" w14:textId="77777777" w:rsidR="006346FB" w:rsidRPr="006346FB" w:rsidRDefault="006346FB" w:rsidP="006346FB">
            <w:pPr>
              <w:spacing w:after="0"/>
              <w:ind w:left="0"/>
              <w:rPr>
                <w:rFonts w:cs="Arial"/>
                <w:b/>
              </w:rPr>
            </w:pPr>
            <w:r w:rsidRPr="006346FB">
              <w:rPr>
                <w:rFonts w:cs="Arial"/>
                <w:b/>
              </w:rPr>
              <w:t>Nombre d’onde (cm</w:t>
            </w:r>
            <w:r w:rsidRPr="006346FB">
              <w:rPr>
                <w:rFonts w:cs="Arial"/>
                <w:b/>
                <w:vertAlign w:val="superscript"/>
              </w:rPr>
              <w:t>-1</w:t>
            </w:r>
            <w:r w:rsidRPr="006346FB">
              <w:rPr>
                <w:rFonts w:cs="Arial"/>
                <w:b/>
              </w:rPr>
              <w:t>)</w:t>
            </w:r>
          </w:p>
        </w:tc>
        <w:tc>
          <w:tcPr>
            <w:tcW w:w="2685" w:type="dxa"/>
          </w:tcPr>
          <w:p w14:paraId="5D1C9996" w14:textId="77777777" w:rsidR="006346FB" w:rsidRPr="006346FB" w:rsidRDefault="006346FB" w:rsidP="006346FB">
            <w:pPr>
              <w:spacing w:after="0"/>
              <w:ind w:left="0"/>
              <w:rPr>
                <w:rFonts w:cs="Arial"/>
                <w:b/>
              </w:rPr>
            </w:pPr>
            <w:r w:rsidRPr="006346FB">
              <w:rPr>
                <w:rFonts w:cs="Arial"/>
                <w:b/>
              </w:rPr>
              <w:t>Intensité</w:t>
            </w:r>
          </w:p>
        </w:tc>
      </w:tr>
      <w:tr w:rsidR="006346FB" w:rsidRPr="006346FB" w14:paraId="337D4E1B" w14:textId="77777777" w:rsidTr="007F268C">
        <w:tc>
          <w:tcPr>
            <w:tcW w:w="3053" w:type="dxa"/>
            <w:vAlign w:val="center"/>
          </w:tcPr>
          <w:p w14:paraId="172058EA" w14:textId="77777777" w:rsidR="006346FB" w:rsidRPr="006346FB" w:rsidRDefault="006346FB" w:rsidP="006346FB">
            <w:pPr>
              <w:spacing w:after="0"/>
              <w:ind w:left="0"/>
              <w:rPr>
                <w:rFonts w:cs="Arial"/>
              </w:rPr>
            </w:pPr>
            <w:r w:rsidRPr="006346FB">
              <w:rPr>
                <w:rFonts w:cs="Arial"/>
              </w:rPr>
              <w:t>O</w:t>
            </w:r>
            <w:r w:rsidRPr="006346FB">
              <w:rPr>
                <w:rFonts w:cs="Arial"/>
              </w:rPr>
              <w:sym w:font="Symbol" w:char="F02D"/>
            </w:r>
            <w:r w:rsidRPr="006346FB">
              <w:rPr>
                <w:rFonts w:cs="Arial"/>
              </w:rPr>
              <w:t>H alcool</w:t>
            </w:r>
          </w:p>
        </w:tc>
        <w:tc>
          <w:tcPr>
            <w:tcW w:w="2751" w:type="dxa"/>
            <w:vAlign w:val="center"/>
          </w:tcPr>
          <w:p w14:paraId="4EFFB717" w14:textId="77777777" w:rsidR="006346FB" w:rsidRPr="006346FB" w:rsidRDefault="006346FB" w:rsidP="006346FB">
            <w:pPr>
              <w:spacing w:after="0"/>
              <w:ind w:left="0"/>
              <w:rPr>
                <w:rFonts w:cs="Arial"/>
              </w:rPr>
            </w:pPr>
            <w:r w:rsidRPr="006346FB">
              <w:rPr>
                <w:rFonts w:cs="Arial"/>
              </w:rPr>
              <w:t>3200</w:t>
            </w:r>
            <w:r w:rsidRPr="006346FB">
              <w:rPr>
                <w:rFonts w:cs="Arial"/>
              </w:rPr>
              <w:sym w:font="Symbol" w:char="F02D"/>
            </w:r>
            <w:r w:rsidRPr="006346FB">
              <w:rPr>
                <w:rFonts w:cs="Arial"/>
              </w:rPr>
              <w:t>3400</w:t>
            </w:r>
          </w:p>
        </w:tc>
        <w:tc>
          <w:tcPr>
            <w:tcW w:w="2685" w:type="dxa"/>
          </w:tcPr>
          <w:p w14:paraId="431FBC08" w14:textId="77777777" w:rsidR="006346FB" w:rsidRPr="006346FB" w:rsidRDefault="006346FB" w:rsidP="006346FB">
            <w:pPr>
              <w:spacing w:after="0"/>
              <w:ind w:left="0"/>
              <w:rPr>
                <w:rFonts w:cs="Arial"/>
              </w:rPr>
            </w:pPr>
            <w:r w:rsidRPr="006346FB">
              <w:rPr>
                <w:rFonts w:cs="Arial"/>
              </w:rPr>
              <w:t>forte</w:t>
            </w:r>
          </w:p>
        </w:tc>
      </w:tr>
      <w:tr w:rsidR="006346FB" w:rsidRPr="006346FB" w14:paraId="4A87253C" w14:textId="77777777" w:rsidTr="007F268C">
        <w:tc>
          <w:tcPr>
            <w:tcW w:w="3053" w:type="dxa"/>
            <w:vAlign w:val="center"/>
          </w:tcPr>
          <w:p w14:paraId="692A3B6C" w14:textId="77777777" w:rsidR="006346FB" w:rsidRPr="006346FB" w:rsidRDefault="006346FB" w:rsidP="006346FB">
            <w:pPr>
              <w:spacing w:after="0"/>
              <w:ind w:left="0"/>
              <w:rPr>
                <w:rFonts w:cs="Arial"/>
              </w:rPr>
            </w:pPr>
            <w:r w:rsidRPr="006346FB">
              <w:rPr>
                <w:rFonts w:cs="Arial"/>
              </w:rPr>
              <w:t>N</w:t>
            </w:r>
            <w:r w:rsidRPr="006346FB">
              <w:rPr>
                <w:rFonts w:cs="Arial"/>
              </w:rPr>
              <w:sym w:font="Symbol" w:char="F02D"/>
            </w:r>
            <w:r w:rsidRPr="006346FB">
              <w:rPr>
                <w:rFonts w:cs="Arial"/>
              </w:rPr>
              <w:t>H amine</w:t>
            </w:r>
          </w:p>
        </w:tc>
        <w:tc>
          <w:tcPr>
            <w:tcW w:w="2751" w:type="dxa"/>
            <w:vAlign w:val="center"/>
          </w:tcPr>
          <w:p w14:paraId="1436815E" w14:textId="77777777" w:rsidR="006346FB" w:rsidRPr="006346FB" w:rsidRDefault="006346FB" w:rsidP="006346FB">
            <w:pPr>
              <w:spacing w:after="0"/>
              <w:ind w:left="0"/>
              <w:rPr>
                <w:rFonts w:cs="Arial"/>
              </w:rPr>
            </w:pPr>
            <w:r w:rsidRPr="006346FB">
              <w:rPr>
                <w:rFonts w:cs="Arial"/>
              </w:rPr>
              <w:t>3100</w:t>
            </w:r>
            <w:r w:rsidRPr="006346FB">
              <w:rPr>
                <w:rFonts w:cs="Arial"/>
              </w:rPr>
              <w:sym w:font="Symbol" w:char="F02D"/>
            </w:r>
            <w:r w:rsidRPr="006346FB">
              <w:rPr>
                <w:rFonts w:cs="Arial"/>
              </w:rPr>
              <w:t>3500</w:t>
            </w:r>
          </w:p>
        </w:tc>
        <w:tc>
          <w:tcPr>
            <w:tcW w:w="2685" w:type="dxa"/>
          </w:tcPr>
          <w:p w14:paraId="0A0DB28B" w14:textId="77777777" w:rsidR="006346FB" w:rsidRPr="006346FB" w:rsidRDefault="006346FB" w:rsidP="006346FB">
            <w:pPr>
              <w:spacing w:after="0"/>
              <w:ind w:left="0"/>
              <w:rPr>
                <w:rFonts w:cs="Arial"/>
              </w:rPr>
            </w:pPr>
            <w:r w:rsidRPr="006346FB">
              <w:rPr>
                <w:rFonts w:cs="Arial"/>
              </w:rPr>
              <w:t>moyenne</w:t>
            </w:r>
          </w:p>
        </w:tc>
      </w:tr>
      <w:tr w:rsidR="006346FB" w:rsidRPr="006346FB" w14:paraId="0AA04542" w14:textId="77777777" w:rsidTr="007F268C">
        <w:tc>
          <w:tcPr>
            <w:tcW w:w="3053" w:type="dxa"/>
            <w:vAlign w:val="center"/>
          </w:tcPr>
          <w:p w14:paraId="3DAC451D" w14:textId="77777777" w:rsidR="006346FB" w:rsidRPr="006346FB" w:rsidRDefault="006346FB" w:rsidP="006346FB">
            <w:pPr>
              <w:spacing w:after="0"/>
              <w:ind w:left="0"/>
              <w:rPr>
                <w:rFonts w:cs="Arial"/>
              </w:rPr>
            </w:pPr>
            <w:proofErr w:type="spellStart"/>
            <w:r w:rsidRPr="006346FB">
              <w:rPr>
                <w:rFonts w:cs="Arial"/>
              </w:rPr>
              <w:t>C</w:t>
            </w:r>
            <w:r w:rsidRPr="006346FB">
              <w:rPr>
                <w:rFonts w:cs="Arial"/>
                <w:vertAlign w:val="subscript"/>
              </w:rPr>
              <w:t>tri</w:t>
            </w:r>
            <w:proofErr w:type="spellEnd"/>
            <w:r w:rsidRPr="006346FB">
              <w:rPr>
                <w:rFonts w:cs="Arial"/>
              </w:rPr>
              <w:sym w:font="Symbol" w:char="F02D"/>
            </w:r>
            <w:r w:rsidRPr="006346FB">
              <w:rPr>
                <w:rFonts w:cs="Arial"/>
              </w:rPr>
              <w:t>H</w:t>
            </w:r>
          </w:p>
        </w:tc>
        <w:tc>
          <w:tcPr>
            <w:tcW w:w="2751" w:type="dxa"/>
            <w:vAlign w:val="center"/>
          </w:tcPr>
          <w:p w14:paraId="14E44CF8" w14:textId="77777777" w:rsidR="006346FB" w:rsidRPr="006346FB" w:rsidRDefault="006346FB" w:rsidP="006346FB">
            <w:pPr>
              <w:spacing w:after="0"/>
              <w:ind w:left="0"/>
              <w:rPr>
                <w:rFonts w:cs="Arial"/>
              </w:rPr>
            </w:pPr>
            <w:r w:rsidRPr="006346FB">
              <w:rPr>
                <w:rFonts w:cs="Arial"/>
              </w:rPr>
              <w:t>3000</w:t>
            </w:r>
            <w:r w:rsidRPr="006346FB">
              <w:rPr>
                <w:rFonts w:cs="Arial"/>
              </w:rPr>
              <w:sym w:font="Symbol" w:char="F02D"/>
            </w:r>
            <w:r w:rsidRPr="006346FB">
              <w:rPr>
                <w:rFonts w:cs="Arial"/>
              </w:rPr>
              <w:t>3100</w:t>
            </w:r>
          </w:p>
        </w:tc>
        <w:tc>
          <w:tcPr>
            <w:tcW w:w="2685" w:type="dxa"/>
          </w:tcPr>
          <w:p w14:paraId="15697AFF" w14:textId="77777777" w:rsidR="006346FB" w:rsidRPr="006346FB" w:rsidRDefault="006346FB" w:rsidP="006346FB">
            <w:pPr>
              <w:spacing w:after="0"/>
              <w:ind w:left="0"/>
              <w:rPr>
                <w:rFonts w:cs="Arial"/>
              </w:rPr>
            </w:pPr>
            <w:r w:rsidRPr="006346FB">
              <w:rPr>
                <w:rFonts w:cs="Arial"/>
              </w:rPr>
              <w:t>moyenne</w:t>
            </w:r>
          </w:p>
        </w:tc>
      </w:tr>
      <w:tr w:rsidR="006346FB" w:rsidRPr="006346FB" w14:paraId="381BB064" w14:textId="77777777" w:rsidTr="007F268C">
        <w:tc>
          <w:tcPr>
            <w:tcW w:w="3053" w:type="dxa"/>
            <w:vAlign w:val="center"/>
          </w:tcPr>
          <w:p w14:paraId="418DA66E" w14:textId="77777777" w:rsidR="006346FB" w:rsidRPr="006346FB" w:rsidRDefault="006346FB" w:rsidP="006346FB">
            <w:pPr>
              <w:spacing w:after="0"/>
              <w:ind w:left="0"/>
              <w:rPr>
                <w:rFonts w:cs="Arial"/>
              </w:rPr>
            </w:pPr>
            <w:proofErr w:type="spellStart"/>
            <w:r w:rsidRPr="006346FB">
              <w:rPr>
                <w:rFonts w:cs="Arial"/>
              </w:rPr>
              <w:t>C</w:t>
            </w:r>
            <w:r w:rsidRPr="006346FB">
              <w:rPr>
                <w:rFonts w:cs="Arial"/>
                <w:vertAlign w:val="subscript"/>
              </w:rPr>
              <w:t>tét</w:t>
            </w:r>
            <w:proofErr w:type="spellEnd"/>
            <w:r w:rsidRPr="006346FB">
              <w:rPr>
                <w:rFonts w:cs="Arial"/>
              </w:rPr>
              <w:sym w:font="Symbol" w:char="F02D"/>
            </w:r>
            <w:r w:rsidRPr="006346FB">
              <w:rPr>
                <w:rFonts w:cs="Arial"/>
              </w:rPr>
              <w:t>H</w:t>
            </w:r>
          </w:p>
        </w:tc>
        <w:tc>
          <w:tcPr>
            <w:tcW w:w="2751" w:type="dxa"/>
            <w:vAlign w:val="center"/>
          </w:tcPr>
          <w:p w14:paraId="72369F4D" w14:textId="77777777" w:rsidR="006346FB" w:rsidRPr="006346FB" w:rsidRDefault="006346FB" w:rsidP="006346FB">
            <w:pPr>
              <w:spacing w:after="0"/>
              <w:ind w:left="0"/>
              <w:rPr>
                <w:rFonts w:cs="Arial"/>
              </w:rPr>
            </w:pPr>
            <w:r w:rsidRPr="006346FB">
              <w:rPr>
                <w:rFonts w:cs="Arial"/>
              </w:rPr>
              <w:t>2800</w:t>
            </w:r>
            <w:r w:rsidRPr="006346FB">
              <w:rPr>
                <w:rFonts w:cs="Arial"/>
              </w:rPr>
              <w:sym w:font="Symbol" w:char="F02D"/>
            </w:r>
            <w:r w:rsidRPr="006346FB">
              <w:rPr>
                <w:rFonts w:cs="Arial"/>
              </w:rPr>
              <w:t>3000</w:t>
            </w:r>
          </w:p>
        </w:tc>
        <w:tc>
          <w:tcPr>
            <w:tcW w:w="2685" w:type="dxa"/>
          </w:tcPr>
          <w:p w14:paraId="348A48E8" w14:textId="77777777" w:rsidR="006346FB" w:rsidRPr="006346FB" w:rsidRDefault="006346FB" w:rsidP="006346FB">
            <w:pPr>
              <w:spacing w:after="0"/>
              <w:ind w:left="0"/>
              <w:rPr>
                <w:rFonts w:cs="Arial"/>
              </w:rPr>
            </w:pPr>
            <w:r w:rsidRPr="006346FB">
              <w:rPr>
                <w:rFonts w:cs="Arial"/>
              </w:rPr>
              <w:t>forte</w:t>
            </w:r>
          </w:p>
        </w:tc>
      </w:tr>
      <w:tr w:rsidR="006346FB" w:rsidRPr="006346FB" w14:paraId="54E38DFF" w14:textId="77777777" w:rsidTr="007F268C">
        <w:tc>
          <w:tcPr>
            <w:tcW w:w="3053" w:type="dxa"/>
            <w:vAlign w:val="center"/>
          </w:tcPr>
          <w:p w14:paraId="194ACA71" w14:textId="77777777" w:rsidR="006346FB" w:rsidRPr="006346FB" w:rsidRDefault="006346FB" w:rsidP="006346FB">
            <w:pPr>
              <w:spacing w:after="0"/>
              <w:ind w:left="0"/>
              <w:rPr>
                <w:rFonts w:cs="Arial"/>
              </w:rPr>
            </w:pPr>
            <w:r w:rsidRPr="006346FB">
              <w:rPr>
                <w:rFonts w:cs="Arial"/>
              </w:rPr>
              <w:t>O</w:t>
            </w:r>
            <w:r w:rsidRPr="006346FB">
              <w:rPr>
                <w:rFonts w:cs="Arial"/>
              </w:rPr>
              <w:sym w:font="Symbol" w:char="F02D"/>
            </w:r>
            <w:r w:rsidRPr="006346FB">
              <w:rPr>
                <w:rFonts w:cs="Arial"/>
              </w:rPr>
              <w:t>H acide carboxylique</w:t>
            </w:r>
          </w:p>
        </w:tc>
        <w:tc>
          <w:tcPr>
            <w:tcW w:w="2751" w:type="dxa"/>
            <w:vAlign w:val="center"/>
          </w:tcPr>
          <w:p w14:paraId="654509EB" w14:textId="77777777" w:rsidR="006346FB" w:rsidRPr="006346FB" w:rsidRDefault="006346FB" w:rsidP="006346FB">
            <w:pPr>
              <w:spacing w:after="0"/>
              <w:ind w:left="0"/>
              <w:rPr>
                <w:rFonts w:cs="Arial"/>
              </w:rPr>
            </w:pPr>
            <w:r w:rsidRPr="006346FB">
              <w:rPr>
                <w:rFonts w:cs="Arial"/>
              </w:rPr>
              <w:t>2500</w:t>
            </w:r>
            <w:r w:rsidRPr="006346FB">
              <w:rPr>
                <w:rFonts w:cs="Arial"/>
              </w:rPr>
              <w:sym w:font="Symbol" w:char="F02D"/>
            </w:r>
            <w:r w:rsidRPr="006346FB">
              <w:rPr>
                <w:rFonts w:cs="Arial"/>
              </w:rPr>
              <w:t>3200</w:t>
            </w:r>
          </w:p>
        </w:tc>
        <w:tc>
          <w:tcPr>
            <w:tcW w:w="2685" w:type="dxa"/>
          </w:tcPr>
          <w:p w14:paraId="249A7768" w14:textId="77777777" w:rsidR="006346FB" w:rsidRPr="006346FB" w:rsidRDefault="006346FB" w:rsidP="006346FB">
            <w:pPr>
              <w:spacing w:after="0"/>
              <w:ind w:left="0"/>
              <w:rPr>
                <w:rFonts w:cs="Arial"/>
              </w:rPr>
            </w:pPr>
            <w:r w:rsidRPr="006346FB">
              <w:rPr>
                <w:rFonts w:cs="Arial"/>
              </w:rPr>
              <w:t>forte à moyenne, large</w:t>
            </w:r>
          </w:p>
        </w:tc>
      </w:tr>
      <w:tr w:rsidR="006346FB" w:rsidRPr="006346FB" w14:paraId="2F37348D" w14:textId="77777777" w:rsidTr="007F268C">
        <w:tc>
          <w:tcPr>
            <w:tcW w:w="3053" w:type="dxa"/>
            <w:vAlign w:val="center"/>
          </w:tcPr>
          <w:p w14:paraId="38CB58D6" w14:textId="77777777" w:rsidR="006346FB" w:rsidRPr="006346FB" w:rsidRDefault="006346FB" w:rsidP="006346FB">
            <w:pPr>
              <w:spacing w:after="0"/>
              <w:ind w:left="0"/>
              <w:rPr>
                <w:rFonts w:cs="Arial"/>
              </w:rPr>
            </w:pPr>
            <w:r w:rsidRPr="006346FB">
              <w:rPr>
                <w:rFonts w:cs="Arial"/>
              </w:rPr>
              <w:t>S</w:t>
            </w:r>
            <w:r w:rsidRPr="006346FB">
              <w:rPr>
                <w:rFonts w:cs="Arial"/>
              </w:rPr>
              <w:sym w:font="Symbol" w:char="F02D"/>
            </w:r>
            <w:r w:rsidRPr="006346FB">
              <w:rPr>
                <w:rFonts w:cs="Arial"/>
              </w:rPr>
              <w:t>H</w:t>
            </w:r>
          </w:p>
        </w:tc>
        <w:tc>
          <w:tcPr>
            <w:tcW w:w="2751" w:type="dxa"/>
            <w:vAlign w:val="center"/>
          </w:tcPr>
          <w:p w14:paraId="6C1BE47A" w14:textId="77777777" w:rsidR="006346FB" w:rsidRPr="006346FB" w:rsidRDefault="006346FB" w:rsidP="006346FB">
            <w:pPr>
              <w:spacing w:after="0"/>
              <w:ind w:left="0"/>
              <w:rPr>
                <w:rFonts w:cs="Arial"/>
              </w:rPr>
            </w:pPr>
            <w:r w:rsidRPr="006346FB">
              <w:rPr>
                <w:rFonts w:cs="Arial"/>
              </w:rPr>
              <w:t>2550 -2620</w:t>
            </w:r>
          </w:p>
        </w:tc>
        <w:tc>
          <w:tcPr>
            <w:tcW w:w="2685" w:type="dxa"/>
          </w:tcPr>
          <w:p w14:paraId="05191B41" w14:textId="77777777" w:rsidR="006346FB" w:rsidRPr="006346FB" w:rsidRDefault="006346FB" w:rsidP="006346FB">
            <w:pPr>
              <w:spacing w:after="0"/>
              <w:ind w:left="0"/>
              <w:rPr>
                <w:rFonts w:cs="Arial"/>
              </w:rPr>
            </w:pPr>
            <w:r w:rsidRPr="006346FB">
              <w:rPr>
                <w:rFonts w:cs="Arial"/>
              </w:rPr>
              <w:t>moyenne</w:t>
            </w:r>
          </w:p>
        </w:tc>
      </w:tr>
      <w:tr w:rsidR="006346FB" w:rsidRPr="006346FB" w14:paraId="20DA3386" w14:textId="77777777" w:rsidTr="007F268C">
        <w:tc>
          <w:tcPr>
            <w:tcW w:w="3053" w:type="dxa"/>
            <w:vAlign w:val="center"/>
          </w:tcPr>
          <w:p w14:paraId="73E7D7F1" w14:textId="77777777" w:rsidR="006346FB" w:rsidRPr="006346FB" w:rsidRDefault="006346FB" w:rsidP="006346FB">
            <w:pPr>
              <w:spacing w:after="0"/>
              <w:ind w:left="0"/>
              <w:rPr>
                <w:rFonts w:cs="Arial"/>
              </w:rPr>
            </w:pPr>
            <w:r w:rsidRPr="006346FB">
              <w:rPr>
                <w:rFonts w:cs="Arial"/>
              </w:rPr>
              <w:t>C=O ester</w:t>
            </w:r>
          </w:p>
        </w:tc>
        <w:tc>
          <w:tcPr>
            <w:tcW w:w="2751" w:type="dxa"/>
            <w:vAlign w:val="center"/>
          </w:tcPr>
          <w:p w14:paraId="205426C6" w14:textId="77777777" w:rsidR="006346FB" w:rsidRPr="006346FB" w:rsidRDefault="006346FB" w:rsidP="006346FB">
            <w:pPr>
              <w:spacing w:after="0"/>
              <w:ind w:left="0"/>
              <w:rPr>
                <w:rFonts w:cs="Arial"/>
              </w:rPr>
            </w:pPr>
            <w:r w:rsidRPr="006346FB">
              <w:rPr>
                <w:rFonts w:cs="Arial"/>
              </w:rPr>
              <w:t>1700</w:t>
            </w:r>
            <w:r w:rsidRPr="006346FB">
              <w:rPr>
                <w:rFonts w:cs="Arial"/>
              </w:rPr>
              <w:sym w:font="Symbol" w:char="F02D"/>
            </w:r>
            <w:r w:rsidRPr="006346FB">
              <w:rPr>
                <w:rFonts w:cs="Arial"/>
              </w:rPr>
              <w:t>1740</w:t>
            </w:r>
          </w:p>
        </w:tc>
        <w:tc>
          <w:tcPr>
            <w:tcW w:w="2685" w:type="dxa"/>
          </w:tcPr>
          <w:p w14:paraId="576034E6" w14:textId="77777777" w:rsidR="006346FB" w:rsidRPr="006346FB" w:rsidRDefault="006346FB" w:rsidP="006346FB">
            <w:pPr>
              <w:spacing w:after="0"/>
              <w:ind w:left="0"/>
              <w:rPr>
                <w:rFonts w:cs="Arial"/>
              </w:rPr>
            </w:pPr>
            <w:r w:rsidRPr="006346FB">
              <w:rPr>
                <w:rFonts w:cs="Arial"/>
              </w:rPr>
              <w:t>forte</w:t>
            </w:r>
          </w:p>
        </w:tc>
      </w:tr>
      <w:tr w:rsidR="006346FB" w:rsidRPr="006346FB" w14:paraId="6F6080ED" w14:textId="77777777" w:rsidTr="007F268C">
        <w:tc>
          <w:tcPr>
            <w:tcW w:w="3053" w:type="dxa"/>
            <w:vAlign w:val="center"/>
          </w:tcPr>
          <w:p w14:paraId="6DF75898" w14:textId="77777777" w:rsidR="006346FB" w:rsidRPr="006346FB" w:rsidRDefault="006346FB" w:rsidP="006346FB">
            <w:pPr>
              <w:spacing w:after="0"/>
              <w:ind w:left="0"/>
              <w:rPr>
                <w:rFonts w:cs="Arial"/>
              </w:rPr>
            </w:pPr>
            <w:r w:rsidRPr="006346FB">
              <w:rPr>
                <w:rFonts w:cs="Arial"/>
              </w:rPr>
              <w:t>C=O aldéhyde ou cétone</w:t>
            </w:r>
          </w:p>
        </w:tc>
        <w:tc>
          <w:tcPr>
            <w:tcW w:w="2751" w:type="dxa"/>
            <w:vAlign w:val="center"/>
          </w:tcPr>
          <w:p w14:paraId="450EB2E8" w14:textId="77777777" w:rsidR="006346FB" w:rsidRPr="006346FB" w:rsidRDefault="006346FB" w:rsidP="006346FB">
            <w:pPr>
              <w:spacing w:after="0"/>
              <w:ind w:left="0"/>
              <w:rPr>
                <w:rFonts w:cs="Arial"/>
              </w:rPr>
            </w:pPr>
            <w:r w:rsidRPr="006346FB">
              <w:rPr>
                <w:rFonts w:cs="Arial"/>
              </w:rPr>
              <w:t>1650</w:t>
            </w:r>
            <w:r w:rsidRPr="006346FB">
              <w:rPr>
                <w:rFonts w:cs="Arial"/>
              </w:rPr>
              <w:sym w:font="Symbol" w:char="F02D"/>
            </w:r>
            <w:r w:rsidRPr="006346FB">
              <w:rPr>
                <w:rFonts w:cs="Arial"/>
              </w:rPr>
              <w:t>1730</w:t>
            </w:r>
          </w:p>
        </w:tc>
        <w:tc>
          <w:tcPr>
            <w:tcW w:w="2685" w:type="dxa"/>
          </w:tcPr>
          <w:p w14:paraId="5FF25981" w14:textId="77777777" w:rsidR="006346FB" w:rsidRPr="006346FB" w:rsidRDefault="006346FB" w:rsidP="006346FB">
            <w:pPr>
              <w:spacing w:after="0"/>
              <w:ind w:left="0"/>
              <w:rPr>
                <w:rFonts w:cs="Arial"/>
              </w:rPr>
            </w:pPr>
            <w:r w:rsidRPr="006346FB">
              <w:rPr>
                <w:rFonts w:cs="Arial"/>
              </w:rPr>
              <w:t>forte</w:t>
            </w:r>
          </w:p>
        </w:tc>
      </w:tr>
      <w:tr w:rsidR="006346FB" w:rsidRPr="006346FB" w14:paraId="0CA489E4" w14:textId="77777777" w:rsidTr="007F268C">
        <w:tc>
          <w:tcPr>
            <w:tcW w:w="3053" w:type="dxa"/>
            <w:vAlign w:val="center"/>
          </w:tcPr>
          <w:p w14:paraId="643F06D8" w14:textId="77777777" w:rsidR="006346FB" w:rsidRPr="006346FB" w:rsidRDefault="006346FB" w:rsidP="006346FB">
            <w:pPr>
              <w:spacing w:after="0"/>
              <w:ind w:left="0"/>
              <w:rPr>
                <w:rFonts w:cs="Arial"/>
              </w:rPr>
            </w:pPr>
            <w:r w:rsidRPr="006346FB">
              <w:rPr>
                <w:rFonts w:cs="Arial"/>
              </w:rPr>
              <w:t>C=O acide carboxylique</w:t>
            </w:r>
          </w:p>
        </w:tc>
        <w:tc>
          <w:tcPr>
            <w:tcW w:w="2751" w:type="dxa"/>
            <w:vAlign w:val="center"/>
          </w:tcPr>
          <w:p w14:paraId="60F68B52" w14:textId="77777777" w:rsidR="006346FB" w:rsidRPr="006346FB" w:rsidRDefault="006346FB" w:rsidP="006346FB">
            <w:pPr>
              <w:spacing w:after="0"/>
              <w:ind w:left="0"/>
              <w:rPr>
                <w:rFonts w:cs="Arial"/>
              </w:rPr>
            </w:pPr>
            <w:r w:rsidRPr="006346FB">
              <w:rPr>
                <w:rFonts w:cs="Arial"/>
              </w:rPr>
              <w:t>1680</w:t>
            </w:r>
            <w:r w:rsidRPr="006346FB">
              <w:rPr>
                <w:rFonts w:cs="Arial"/>
              </w:rPr>
              <w:sym w:font="Symbol" w:char="F02D"/>
            </w:r>
            <w:r w:rsidRPr="006346FB">
              <w:rPr>
                <w:rFonts w:cs="Arial"/>
              </w:rPr>
              <w:t>1710</w:t>
            </w:r>
          </w:p>
        </w:tc>
        <w:tc>
          <w:tcPr>
            <w:tcW w:w="2685" w:type="dxa"/>
          </w:tcPr>
          <w:p w14:paraId="6D4BB67B" w14:textId="77777777" w:rsidR="006346FB" w:rsidRPr="006346FB" w:rsidRDefault="006346FB" w:rsidP="006346FB">
            <w:pPr>
              <w:spacing w:after="0"/>
              <w:ind w:left="0"/>
              <w:rPr>
                <w:rFonts w:cs="Arial"/>
              </w:rPr>
            </w:pPr>
            <w:r w:rsidRPr="006346FB">
              <w:rPr>
                <w:rFonts w:cs="Arial"/>
              </w:rPr>
              <w:t>forte</w:t>
            </w:r>
          </w:p>
        </w:tc>
      </w:tr>
      <w:tr w:rsidR="006346FB" w:rsidRPr="006346FB" w14:paraId="77655276" w14:textId="77777777" w:rsidTr="007F268C">
        <w:trPr>
          <w:trHeight w:val="80"/>
        </w:trPr>
        <w:tc>
          <w:tcPr>
            <w:tcW w:w="3053" w:type="dxa"/>
            <w:vAlign w:val="center"/>
          </w:tcPr>
          <w:p w14:paraId="1F4AB763" w14:textId="77777777" w:rsidR="006346FB" w:rsidRPr="006346FB" w:rsidRDefault="006346FB" w:rsidP="006346FB">
            <w:pPr>
              <w:spacing w:after="0"/>
              <w:ind w:left="0"/>
              <w:rPr>
                <w:rFonts w:cs="Arial"/>
              </w:rPr>
            </w:pPr>
            <w:r w:rsidRPr="006346FB">
              <w:rPr>
                <w:rFonts w:cs="Arial"/>
              </w:rPr>
              <w:t>N</w:t>
            </w:r>
            <w:r w:rsidRPr="006346FB">
              <w:rPr>
                <w:rFonts w:cs="Arial"/>
              </w:rPr>
              <w:sym w:font="Symbol" w:char="F02D"/>
            </w:r>
            <w:r w:rsidRPr="006346FB">
              <w:rPr>
                <w:rFonts w:cs="Arial"/>
              </w:rPr>
              <w:t>H amine ou amide</w:t>
            </w:r>
          </w:p>
        </w:tc>
        <w:tc>
          <w:tcPr>
            <w:tcW w:w="2751" w:type="dxa"/>
            <w:vAlign w:val="center"/>
          </w:tcPr>
          <w:p w14:paraId="106A165A" w14:textId="77777777" w:rsidR="006346FB" w:rsidRPr="006346FB" w:rsidRDefault="006346FB" w:rsidP="006346FB">
            <w:pPr>
              <w:spacing w:after="0"/>
              <w:ind w:left="0"/>
              <w:rPr>
                <w:rFonts w:cs="Arial"/>
              </w:rPr>
            </w:pPr>
            <w:r w:rsidRPr="006346FB">
              <w:rPr>
                <w:rFonts w:cs="Arial"/>
              </w:rPr>
              <w:t>1560</w:t>
            </w:r>
            <w:r w:rsidRPr="006346FB">
              <w:rPr>
                <w:rFonts w:cs="Arial"/>
              </w:rPr>
              <w:sym w:font="Symbol" w:char="F02D"/>
            </w:r>
            <w:r w:rsidRPr="006346FB">
              <w:rPr>
                <w:rFonts w:cs="Arial"/>
              </w:rPr>
              <w:t>1640</w:t>
            </w:r>
          </w:p>
        </w:tc>
        <w:tc>
          <w:tcPr>
            <w:tcW w:w="2685" w:type="dxa"/>
          </w:tcPr>
          <w:p w14:paraId="50E835D0" w14:textId="77777777" w:rsidR="006346FB" w:rsidRPr="006346FB" w:rsidRDefault="006346FB" w:rsidP="006346FB">
            <w:pPr>
              <w:spacing w:after="0"/>
              <w:ind w:left="0"/>
              <w:rPr>
                <w:rFonts w:cs="Arial"/>
              </w:rPr>
            </w:pPr>
            <w:r w:rsidRPr="006346FB">
              <w:rPr>
                <w:rFonts w:cs="Arial"/>
              </w:rPr>
              <w:t>forte</w:t>
            </w:r>
          </w:p>
        </w:tc>
      </w:tr>
    </w:tbl>
    <w:p w14:paraId="05197A46" w14:textId="77777777" w:rsidR="006346FB" w:rsidRPr="006346FB" w:rsidRDefault="006346FB" w:rsidP="006346FB">
      <w:pPr>
        <w:spacing w:after="0"/>
        <w:ind w:left="0"/>
        <w:rPr>
          <w:rFonts w:cs="Arial"/>
        </w:rPr>
      </w:pPr>
      <w:proofErr w:type="spellStart"/>
      <w:r w:rsidRPr="006346FB">
        <w:rPr>
          <w:rFonts w:cs="Arial"/>
        </w:rPr>
        <w:t>C</w:t>
      </w:r>
      <w:r w:rsidRPr="006346FB">
        <w:rPr>
          <w:rFonts w:cs="Arial"/>
          <w:vertAlign w:val="subscript"/>
        </w:rPr>
        <w:t>tri</w:t>
      </w:r>
      <w:proofErr w:type="spellEnd"/>
      <w:r w:rsidRPr="006346FB">
        <w:rPr>
          <w:rFonts w:cs="Arial"/>
          <w:vertAlign w:val="subscript"/>
        </w:rPr>
        <w:t xml:space="preserve"> </w:t>
      </w:r>
      <w:r w:rsidRPr="006346FB">
        <w:rPr>
          <w:rFonts w:cs="Arial"/>
        </w:rPr>
        <w:t>signifie que l’atome de carbone est trigonal, c’est-à-dire relié à trois voisins.</w:t>
      </w:r>
    </w:p>
    <w:p w14:paraId="3D747738" w14:textId="77777777" w:rsidR="006346FB" w:rsidRPr="006346FB" w:rsidRDefault="006346FB" w:rsidP="006346FB">
      <w:pPr>
        <w:spacing w:after="0"/>
        <w:ind w:left="0"/>
        <w:rPr>
          <w:rFonts w:cs="Arial"/>
        </w:rPr>
      </w:pPr>
      <w:proofErr w:type="spellStart"/>
      <w:r w:rsidRPr="006346FB">
        <w:rPr>
          <w:rFonts w:cs="Arial"/>
        </w:rPr>
        <w:t>C</w:t>
      </w:r>
      <w:r w:rsidRPr="006346FB">
        <w:rPr>
          <w:rFonts w:cs="Arial"/>
          <w:vertAlign w:val="subscript"/>
        </w:rPr>
        <w:t>tét</w:t>
      </w:r>
      <w:proofErr w:type="spellEnd"/>
      <w:r w:rsidRPr="006346FB">
        <w:rPr>
          <w:rFonts w:cs="Arial"/>
          <w:vertAlign w:val="subscript"/>
        </w:rPr>
        <w:t xml:space="preserve"> </w:t>
      </w:r>
      <w:r w:rsidRPr="006346FB">
        <w:rPr>
          <w:rFonts w:cs="Arial"/>
        </w:rPr>
        <w:t>signifie que l’atome de carbone est tétragonal, c’est-à-dire relié à quatre voisins.</w:t>
      </w:r>
    </w:p>
    <w:p w14:paraId="380E6421" w14:textId="77777777" w:rsidR="006346FB" w:rsidRPr="006346FB" w:rsidRDefault="006346FB" w:rsidP="006346FB">
      <w:pPr>
        <w:spacing w:after="0"/>
        <w:ind w:left="0"/>
        <w:rPr>
          <w:rFonts w:cs="Arial"/>
        </w:rPr>
      </w:pPr>
    </w:p>
    <w:p w14:paraId="1B241617" w14:textId="77777777" w:rsidR="006346FB" w:rsidRPr="006346FB" w:rsidRDefault="006346FB" w:rsidP="006346FB">
      <w:pPr>
        <w:spacing w:after="0"/>
        <w:ind w:left="0"/>
        <w:rPr>
          <w:rFonts w:cs="Arial"/>
        </w:rPr>
      </w:pPr>
      <w:r w:rsidRPr="006346FB">
        <w:rPr>
          <w:rFonts w:cs="Arial"/>
        </w:rPr>
        <w:t>Énergies de liaison</w:t>
      </w:r>
    </w:p>
    <w:tbl>
      <w:tblPr>
        <w:tblStyle w:val="Grilledutableau"/>
        <w:tblW w:w="0" w:type="auto"/>
        <w:tblInd w:w="534" w:type="dxa"/>
        <w:tblLook w:val="04A0" w:firstRow="1" w:lastRow="0" w:firstColumn="1" w:lastColumn="0" w:noHBand="0" w:noVBand="1"/>
      </w:tblPr>
      <w:tblGrid>
        <w:gridCol w:w="3997"/>
        <w:gridCol w:w="4531"/>
      </w:tblGrid>
      <w:tr w:rsidR="006346FB" w:rsidRPr="006346FB" w14:paraId="15BAC062" w14:textId="77777777" w:rsidTr="007F268C">
        <w:tc>
          <w:tcPr>
            <w:tcW w:w="3997" w:type="dxa"/>
          </w:tcPr>
          <w:p w14:paraId="52702A80" w14:textId="77777777" w:rsidR="006346FB" w:rsidRPr="006346FB" w:rsidRDefault="006346FB" w:rsidP="006346FB">
            <w:pPr>
              <w:spacing w:after="0"/>
              <w:ind w:left="0"/>
              <w:rPr>
                <w:rFonts w:cs="Arial"/>
                <w:b/>
              </w:rPr>
            </w:pPr>
            <w:r w:rsidRPr="006346FB">
              <w:rPr>
                <w:rFonts w:cs="Arial"/>
                <w:b/>
              </w:rPr>
              <w:t>Liaison</w:t>
            </w:r>
          </w:p>
        </w:tc>
        <w:tc>
          <w:tcPr>
            <w:tcW w:w="4531" w:type="dxa"/>
          </w:tcPr>
          <w:p w14:paraId="341B488B" w14:textId="77777777" w:rsidR="006346FB" w:rsidRPr="006346FB" w:rsidRDefault="006346FB" w:rsidP="006346FB">
            <w:pPr>
              <w:spacing w:after="0"/>
              <w:ind w:left="0"/>
              <w:rPr>
                <w:rFonts w:cs="Arial"/>
                <w:b/>
              </w:rPr>
            </w:pPr>
            <w:r w:rsidRPr="006346FB">
              <w:rPr>
                <w:rFonts w:cs="Arial"/>
                <w:b/>
              </w:rPr>
              <w:t>Energie (kJ.mol</w:t>
            </w:r>
            <w:r w:rsidRPr="006346FB">
              <w:rPr>
                <w:rFonts w:cs="Arial"/>
                <w:b/>
                <w:vertAlign w:val="superscript"/>
              </w:rPr>
              <w:t>-1</w:t>
            </w:r>
            <w:r w:rsidRPr="006346FB">
              <w:rPr>
                <w:rFonts w:cs="Arial"/>
                <w:b/>
              </w:rPr>
              <w:t>)</w:t>
            </w:r>
          </w:p>
        </w:tc>
      </w:tr>
      <w:tr w:rsidR="006346FB" w:rsidRPr="006346FB" w14:paraId="24D0CFDF" w14:textId="77777777" w:rsidTr="007F268C">
        <w:tc>
          <w:tcPr>
            <w:tcW w:w="3997" w:type="dxa"/>
          </w:tcPr>
          <w:p w14:paraId="387338CF" w14:textId="77777777" w:rsidR="006346FB" w:rsidRPr="006346FB" w:rsidRDefault="006346FB" w:rsidP="006346FB">
            <w:pPr>
              <w:spacing w:after="0"/>
              <w:ind w:left="0"/>
              <w:rPr>
                <w:rFonts w:cs="Arial"/>
              </w:rPr>
            </w:pPr>
            <w:r w:rsidRPr="006346FB">
              <w:rPr>
                <w:rFonts w:cs="Arial"/>
              </w:rPr>
              <w:t>O=O</w:t>
            </w:r>
          </w:p>
        </w:tc>
        <w:tc>
          <w:tcPr>
            <w:tcW w:w="4531" w:type="dxa"/>
          </w:tcPr>
          <w:p w14:paraId="3757226F" w14:textId="77777777" w:rsidR="006346FB" w:rsidRPr="006346FB" w:rsidRDefault="006346FB" w:rsidP="006346FB">
            <w:pPr>
              <w:spacing w:after="0"/>
              <w:ind w:left="0"/>
              <w:rPr>
                <w:rFonts w:cs="Arial"/>
              </w:rPr>
            </w:pPr>
            <w:r w:rsidRPr="006346FB">
              <w:rPr>
                <w:rFonts w:cs="Arial"/>
              </w:rPr>
              <w:t>500</w:t>
            </w:r>
          </w:p>
        </w:tc>
      </w:tr>
      <w:tr w:rsidR="006346FB" w:rsidRPr="006346FB" w14:paraId="1D25E977" w14:textId="77777777" w:rsidTr="007F268C">
        <w:tc>
          <w:tcPr>
            <w:tcW w:w="3997" w:type="dxa"/>
          </w:tcPr>
          <w:p w14:paraId="79C365CA" w14:textId="77777777" w:rsidR="006346FB" w:rsidRPr="006346FB" w:rsidRDefault="006346FB" w:rsidP="006346FB">
            <w:pPr>
              <w:spacing w:after="0"/>
              <w:ind w:left="0"/>
              <w:rPr>
                <w:rFonts w:cs="Arial"/>
              </w:rPr>
            </w:pPr>
            <w:r w:rsidRPr="006346FB">
              <w:rPr>
                <w:rFonts w:cs="Arial"/>
              </w:rPr>
              <w:t>H-S</w:t>
            </w:r>
          </w:p>
        </w:tc>
        <w:tc>
          <w:tcPr>
            <w:tcW w:w="4531" w:type="dxa"/>
          </w:tcPr>
          <w:p w14:paraId="5824F709" w14:textId="77777777" w:rsidR="006346FB" w:rsidRPr="006346FB" w:rsidRDefault="006346FB" w:rsidP="006346FB">
            <w:pPr>
              <w:spacing w:after="0"/>
              <w:ind w:left="0"/>
              <w:rPr>
                <w:rFonts w:cs="Arial"/>
              </w:rPr>
            </w:pPr>
            <w:r w:rsidRPr="006346FB">
              <w:rPr>
                <w:rFonts w:cs="Arial"/>
              </w:rPr>
              <w:t>350</w:t>
            </w:r>
          </w:p>
        </w:tc>
      </w:tr>
      <w:tr w:rsidR="006346FB" w:rsidRPr="006346FB" w14:paraId="4E895593" w14:textId="77777777" w:rsidTr="007F268C">
        <w:tc>
          <w:tcPr>
            <w:tcW w:w="3997" w:type="dxa"/>
          </w:tcPr>
          <w:p w14:paraId="527A41DC" w14:textId="77777777" w:rsidR="006346FB" w:rsidRPr="006346FB" w:rsidRDefault="006346FB" w:rsidP="006346FB">
            <w:pPr>
              <w:spacing w:after="0"/>
              <w:ind w:left="0"/>
              <w:rPr>
                <w:rFonts w:cs="Arial"/>
              </w:rPr>
            </w:pPr>
            <w:r w:rsidRPr="006346FB">
              <w:rPr>
                <w:rFonts w:cs="Arial"/>
              </w:rPr>
              <w:t>C=O</w:t>
            </w:r>
          </w:p>
        </w:tc>
        <w:tc>
          <w:tcPr>
            <w:tcW w:w="4531" w:type="dxa"/>
          </w:tcPr>
          <w:p w14:paraId="373D87A3" w14:textId="77777777" w:rsidR="006346FB" w:rsidRPr="006346FB" w:rsidRDefault="006346FB" w:rsidP="006346FB">
            <w:pPr>
              <w:spacing w:after="0"/>
              <w:ind w:left="0"/>
              <w:rPr>
                <w:rFonts w:cs="Arial"/>
              </w:rPr>
            </w:pPr>
            <w:r w:rsidRPr="006346FB">
              <w:rPr>
                <w:rFonts w:cs="Arial"/>
              </w:rPr>
              <w:t>800</w:t>
            </w:r>
          </w:p>
        </w:tc>
      </w:tr>
      <w:tr w:rsidR="006346FB" w:rsidRPr="006346FB" w14:paraId="0B837F68" w14:textId="77777777" w:rsidTr="007F268C">
        <w:tc>
          <w:tcPr>
            <w:tcW w:w="3997" w:type="dxa"/>
          </w:tcPr>
          <w:p w14:paraId="05A4CEAF" w14:textId="77777777" w:rsidR="006346FB" w:rsidRPr="006346FB" w:rsidRDefault="006346FB" w:rsidP="006346FB">
            <w:pPr>
              <w:spacing w:after="0"/>
              <w:ind w:left="0"/>
              <w:rPr>
                <w:rFonts w:cs="Arial"/>
              </w:rPr>
            </w:pPr>
            <w:r w:rsidRPr="006346FB">
              <w:rPr>
                <w:rFonts w:cs="Arial"/>
              </w:rPr>
              <w:t>O-H</w:t>
            </w:r>
          </w:p>
        </w:tc>
        <w:tc>
          <w:tcPr>
            <w:tcW w:w="4531" w:type="dxa"/>
          </w:tcPr>
          <w:p w14:paraId="1E99C0BB" w14:textId="77777777" w:rsidR="006346FB" w:rsidRPr="006346FB" w:rsidRDefault="006346FB" w:rsidP="006346FB">
            <w:pPr>
              <w:spacing w:after="0"/>
              <w:ind w:left="0"/>
              <w:rPr>
                <w:rFonts w:cs="Arial"/>
              </w:rPr>
            </w:pPr>
            <w:r w:rsidRPr="006346FB">
              <w:rPr>
                <w:rFonts w:cs="Arial"/>
              </w:rPr>
              <w:t>450</w:t>
            </w:r>
          </w:p>
        </w:tc>
      </w:tr>
      <w:tr w:rsidR="006346FB" w:rsidRPr="006346FB" w14:paraId="4BFCB2DF" w14:textId="77777777" w:rsidTr="007F268C">
        <w:tc>
          <w:tcPr>
            <w:tcW w:w="3997" w:type="dxa"/>
          </w:tcPr>
          <w:p w14:paraId="4EBB7878" w14:textId="77777777" w:rsidR="006346FB" w:rsidRPr="006346FB" w:rsidRDefault="006346FB" w:rsidP="006346FB">
            <w:pPr>
              <w:spacing w:after="0"/>
              <w:ind w:left="0"/>
              <w:rPr>
                <w:rFonts w:cs="Arial"/>
              </w:rPr>
            </w:pPr>
            <w:r w:rsidRPr="006346FB">
              <w:rPr>
                <w:rFonts w:cs="Arial"/>
              </w:rPr>
              <w:t>S=O</w:t>
            </w:r>
          </w:p>
        </w:tc>
        <w:tc>
          <w:tcPr>
            <w:tcW w:w="4531" w:type="dxa"/>
          </w:tcPr>
          <w:p w14:paraId="09097C92" w14:textId="77777777" w:rsidR="006346FB" w:rsidRPr="006346FB" w:rsidRDefault="006346FB" w:rsidP="006346FB">
            <w:pPr>
              <w:spacing w:after="0"/>
              <w:ind w:left="0"/>
              <w:rPr>
                <w:rFonts w:cs="Arial"/>
              </w:rPr>
            </w:pPr>
            <w:r w:rsidRPr="006346FB">
              <w:rPr>
                <w:rFonts w:cs="Arial"/>
              </w:rPr>
              <w:t>550</w:t>
            </w:r>
          </w:p>
        </w:tc>
      </w:tr>
    </w:tbl>
    <w:p w14:paraId="3866F9F1" w14:textId="77777777" w:rsidR="006346FB" w:rsidRPr="006346FB" w:rsidRDefault="006346FB" w:rsidP="005273B2">
      <w:pPr>
        <w:numPr>
          <w:ilvl w:val="0"/>
          <w:numId w:val="1"/>
        </w:numPr>
        <w:spacing w:after="0"/>
        <w:jc w:val="both"/>
        <w:rPr>
          <w:rFonts w:cs="Arial"/>
        </w:rPr>
      </w:pPr>
      <w:r w:rsidRPr="006346FB">
        <w:rPr>
          <w:rFonts w:cs="Arial"/>
        </w:rPr>
        <w:t>L'oxygène, le soufre et le sélénium appartiennent à la même colonne du tableau périodique.</w:t>
      </w:r>
    </w:p>
    <w:p w14:paraId="618F5FBA" w14:textId="77777777" w:rsidR="006346FB" w:rsidRPr="006346FB" w:rsidRDefault="006346FB" w:rsidP="005273B2">
      <w:pPr>
        <w:numPr>
          <w:ilvl w:val="1"/>
          <w:numId w:val="1"/>
        </w:numPr>
        <w:spacing w:after="0"/>
        <w:jc w:val="both"/>
        <w:rPr>
          <w:rFonts w:cs="Arial"/>
          <w:bCs/>
        </w:rPr>
      </w:pPr>
      <w:r w:rsidRPr="006346FB">
        <w:rPr>
          <w:rFonts w:cs="Arial"/>
          <w:bCs/>
        </w:rPr>
        <w:t>Établir le schéma de Lewis de la molécule de sulfure d’hydrogène, H</w:t>
      </w:r>
      <w:r w:rsidRPr="006346FB">
        <w:rPr>
          <w:rFonts w:cs="Arial"/>
          <w:bCs/>
          <w:vertAlign w:val="subscript"/>
        </w:rPr>
        <w:t>2</w:t>
      </w:r>
      <w:r w:rsidRPr="006346FB">
        <w:rPr>
          <w:rFonts w:cs="Arial"/>
          <w:bCs/>
        </w:rPr>
        <w:t>S, et proposer une géométrie de cette entité. Justifier votre raisonnement.</w:t>
      </w:r>
    </w:p>
    <w:p w14:paraId="54583FDB" w14:textId="77777777" w:rsidR="006346FB" w:rsidRPr="006346FB" w:rsidRDefault="006346FB" w:rsidP="005273B2">
      <w:pPr>
        <w:numPr>
          <w:ilvl w:val="1"/>
          <w:numId w:val="1"/>
        </w:numPr>
        <w:spacing w:after="0"/>
        <w:jc w:val="both"/>
        <w:rPr>
          <w:rFonts w:cs="Arial"/>
        </w:rPr>
      </w:pPr>
      <w:r w:rsidRPr="006346FB">
        <w:rPr>
          <w:rFonts w:cs="Arial"/>
        </w:rPr>
        <w:t>La molécule de sulfure d’hydrogène  est-elle polaire ? Justifier votre réponse.</w:t>
      </w:r>
    </w:p>
    <w:p w14:paraId="589693DE" w14:textId="77777777" w:rsidR="006346FB" w:rsidRPr="006346FB" w:rsidRDefault="006346FB" w:rsidP="006346FB">
      <w:pPr>
        <w:spacing w:after="0"/>
        <w:ind w:left="0"/>
        <w:rPr>
          <w:rFonts w:cs="Arial"/>
        </w:rPr>
      </w:pPr>
    </w:p>
    <w:p w14:paraId="23B3874A" w14:textId="77777777" w:rsidR="006346FB" w:rsidRPr="006346FB" w:rsidRDefault="006346FB" w:rsidP="005273B2">
      <w:pPr>
        <w:numPr>
          <w:ilvl w:val="0"/>
          <w:numId w:val="1"/>
        </w:numPr>
        <w:spacing w:after="0"/>
        <w:jc w:val="both"/>
        <w:rPr>
          <w:rFonts w:cs="Arial"/>
        </w:rPr>
      </w:pPr>
      <w:r w:rsidRPr="006346FB">
        <w:rPr>
          <w:rFonts w:cs="Arial"/>
        </w:rPr>
        <w:t>La solubilité d’une espèce chimique est la concentration maximale de cette espèce que l’on peut dissoudre dans l’eau. Elle dépend de la température. Le tableau ci-dessous indique la solubilité du gaz H</w:t>
      </w:r>
      <w:r w:rsidRPr="006346FB">
        <w:rPr>
          <w:rFonts w:cs="Arial"/>
          <w:vertAlign w:val="subscript"/>
        </w:rPr>
        <w:t>2</w:t>
      </w:r>
      <w:r w:rsidRPr="006346FB">
        <w:rPr>
          <w:rFonts w:cs="Arial"/>
        </w:rPr>
        <w:t>S dans l’eau, ainsi que celles d’autres espèces chimiques à la pression atmosphérique et à une température de 25°C.</w:t>
      </w:r>
    </w:p>
    <w:p w14:paraId="3959DAFB" w14:textId="77777777" w:rsidR="006346FB" w:rsidRPr="006346FB" w:rsidRDefault="006346FB" w:rsidP="006346FB">
      <w:pPr>
        <w:spacing w:after="0"/>
        <w:ind w:left="0"/>
        <w:rPr>
          <w:rFonts w:cs="Arial"/>
        </w:rPr>
      </w:pPr>
    </w:p>
    <w:tbl>
      <w:tblPr>
        <w:tblStyle w:val="Grilledutableau"/>
        <w:tblW w:w="0" w:type="auto"/>
        <w:tblInd w:w="720" w:type="dxa"/>
        <w:tblLook w:val="04A0" w:firstRow="1" w:lastRow="0" w:firstColumn="1" w:lastColumn="0" w:noHBand="0" w:noVBand="1"/>
      </w:tblPr>
      <w:tblGrid>
        <w:gridCol w:w="2420"/>
        <w:gridCol w:w="2902"/>
        <w:gridCol w:w="2713"/>
      </w:tblGrid>
      <w:tr w:rsidR="006346FB" w:rsidRPr="006346FB" w14:paraId="02229B90" w14:textId="77777777" w:rsidTr="007F268C">
        <w:trPr>
          <w:trHeight w:val="295"/>
        </w:trPr>
        <w:tc>
          <w:tcPr>
            <w:tcW w:w="2420" w:type="dxa"/>
          </w:tcPr>
          <w:p w14:paraId="47329265" w14:textId="77777777" w:rsidR="006346FB" w:rsidRPr="006346FB" w:rsidDel="00863539" w:rsidRDefault="006346FB" w:rsidP="006346FB">
            <w:pPr>
              <w:spacing w:after="0"/>
              <w:ind w:left="0"/>
              <w:rPr>
                <w:rFonts w:cs="Arial"/>
                <w:b/>
              </w:rPr>
            </w:pPr>
            <w:r w:rsidRPr="006346FB">
              <w:rPr>
                <w:rFonts w:cs="Arial"/>
                <w:b/>
              </w:rPr>
              <w:t>Nom de l’espèce chimique</w:t>
            </w:r>
          </w:p>
        </w:tc>
        <w:tc>
          <w:tcPr>
            <w:tcW w:w="2902" w:type="dxa"/>
          </w:tcPr>
          <w:p w14:paraId="7A2703E8" w14:textId="77777777" w:rsidR="006346FB" w:rsidRPr="006346FB" w:rsidRDefault="006346FB" w:rsidP="006346FB">
            <w:pPr>
              <w:spacing w:after="0"/>
              <w:ind w:left="0"/>
              <w:rPr>
                <w:rFonts w:cs="Arial"/>
                <w:b/>
              </w:rPr>
            </w:pPr>
            <w:r w:rsidRPr="006346FB">
              <w:rPr>
                <w:rFonts w:cs="Arial"/>
                <w:b/>
              </w:rPr>
              <w:t xml:space="preserve">Formule chimique </w:t>
            </w:r>
          </w:p>
        </w:tc>
        <w:tc>
          <w:tcPr>
            <w:tcW w:w="2713" w:type="dxa"/>
          </w:tcPr>
          <w:p w14:paraId="45CDC59B" w14:textId="77777777" w:rsidR="006346FB" w:rsidRPr="006346FB" w:rsidRDefault="006346FB" w:rsidP="006346FB">
            <w:pPr>
              <w:spacing w:after="0"/>
              <w:ind w:left="0"/>
              <w:rPr>
                <w:rFonts w:cs="Arial"/>
                <w:b/>
              </w:rPr>
            </w:pPr>
            <w:r w:rsidRPr="006346FB">
              <w:rPr>
                <w:rFonts w:cs="Arial"/>
                <w:b/>
              </w:rPr>
              <w:t>Solubilité (en mol.L</w:t>
            </w:r>
            <w:r w:rsidRPr="006346FB">
              <w:rPr>
                <w:rFonts w:cs="Arial"/>
                <w:b/>
                <w:vertAlign w:val="superscript"/>
              </w:rPr>
              <w:t>-1</w:t>
            </w:r>
            <w:r w:rsidRPr="006346FB">
              <w:rPr>
                <w:rFonts w:cs="Arial"/>
                <w:b/>
              </w:rPr>
              <w:t>)</w:t>
            </w:r>
          </w:p>
        </w:tc>
      </w:tr>
      <w:tr w:rsidR="006346FB" w:rsidRPr="006346FB" w14:paraId="49D607C8" w14:textId="77777777" w:rsidTr="007F268C">
        <w:trPr>
          <w:trHeight w:val="295"/>
        </w:trPr>
        <w:tc>
          <w:tcPr>
            <w:tcW w:w="2420" w:type="dxa"/>
          </w:tcPr>
          <w:p w14:paraId="04B68509" w14:textId="0679EA75" w:rsidR="006346FB" w:rsidRPr="006346FB" w:rsidRDefault="005273B2" w:rsidP="006346FB">
            <w:pPr>
              <w:spacing w:after="0"/>
              <w:ind w:left="0"/>
              <w:rPr>
                <w:rFonts w:cs="Arial"/>
              </w:rPr>
            </w:pPr>
            <w:r w:rsidRPr="006346FB">
              <w:rPr>
                <w:rFonts w:cs="Arial"/>
              </w:rPr>
              <w:t>D</w:t>
            </w:r>
            <w:r w:rsidR="006346FB" w:rsidRPr="006346FB">
              <w:rPr>
                <w:rFonts w:cs="Arial"/>
              </w:rPr>
              <w:t>iiode</w:t>
            </w:r>
          </w:p>
        </w:tc>
        <w:tc>
          <w:tcPr>
            <w:tcW w:w="2902" w:type="dxa"/>
          </w:tcPr>
          <w:p w14:paraId="691A53B4" w14:textId="77777777" w:rsidR="006346FB" w:rsidRPr="006346FB" w:rsidRDefault="006346FB" w:rsidP="006346FB">
            <w:pPr>
              <w:spacing w:after="0"/>
              <w:ind w:left="0"/>
              <w:rPr>
                <w:rFonts w:cs="Arial"/>
              </w:rPr>
            </w:pPr>
            <w:r w:rsidRPr="006346FB">
              <w:rPr>
                <w:rFonts w:cs="Arial"/>
              </w:rPr>
              <w:t>I</w:t>
            </w:r>
            <w:r w:rsidRPr="006346FB">
              <w:rPr>
                <w:rFonts w:cs="Arial"/>
                <w:vertAlign w:val="subscript"/>
              </w:rPr>
              <w:t>2</w:t>
            </w:r>
          </w:p>
        </w:tc>
        <w:tc>
          <w:tcPr>
            <w:tcW w:w="2713" w:type="dxa"/>
          </w:tcPr>
          <w:p w14:paraId="320A2263" w14:textId="77777777" w:rsidR="006346FB" w:rsidRPr="006346FB" w:rsidRDefault="006346FB" w:rsidP="006346FB">
            <w:pPr>
              <w:spacing w:after="0"/>
              <w:ind w:left="0"/>
              <w:rPr>
                <w:rFonts w:cs="Arial"/>
              </w:rPr>
            </w:pPr>
            <w:r w:rsidRPr="006346FB">
              <w:rPr>
                <w:rFonts w:cs="Arial"/>
              </w:rPr>
              <w:t>1,3 x 10</w:t>
            </w:r>
            <w:r w:rsidRPr="006346FB">
              <w:rPr>
                <w:rFonts w:cs="Arial"/>
                <w:vertAlign w:val="superscript"/>
              </w:rPr>
              <w:t>-3</w:t>
            </w:r>
          </w:p>
        </w:tc>
      </w:tr>
      <w:tr w:rsidR="006346FB" w:rsidRPr="006346FB" w14:paraId="43CD7AEA" w14:textId="77777777" w:rsidTr="007F268C">
        <w:trPr>
          <w:trHeight w:val="281"/>
        </w:trPr>
        <w:tc>
          <w:tcPr>
            <w:tcW w:w="2420" w:type="dxa"/>
          </w:tcPr>
          <w:p w14:paraId="32F55900" w14:textId="77777777" w:rsidR="006346FB" w:rsidRPr="006346FB" w:rsidRDefault="006346FB" w:rsidP="006346FB">
            <w:pPr>
              <w:spacing w:after="0"/>
              <w:ind w:left="0"/>
              <w:rPr>
                <w:rFonts w:cs="Arial"/>
              </w:rPr>
            </w:pPr>
            <w:r w:rsidRPr="006346FB">
              <w:rPr>
                <w:rFonts w:cs="Arial"/>
              </w:rPr>
              <w:t>sulfure d’hydrogène</w:t>
            </w:r>
          </w:p>
        </w:tc>
        <w:tc>
          <w:tcPr>
            <w:tcW w:w="2902" w:type="dxa"/>
          </w:tcPr>
          <w:p w14:paraId="09642A92" w14:textId="77777777" w:rsidR="006346FB" w:rsidRPr="006346FB" w:rsidRDefault="006346FB" w:rsidP="006346FB">
            <w:pPr>
              <w:spacing w:after="0"/>
              <w:ind w:left="0"/>
              <w:rPr>
                <w:rFonts w:cs="Arial"/>
              </w:rPr>
            </w:pPr>
            <w:r w:rsidRPr="006346FB">
              <w:rPr>
                <w:rFonts w:cs="Arial"/>
              </w:rPr>
              <w:t>H</w:t>
            </w:r>
            <w:r w:rsidRPr="006346FB">
              <w:rPr>
                <w:rFonts w:cs="Arial"/>
                <w:vertAlign w:val="subscript"/>
              </w:rPr>
              <w:t>2</w:t>
            </w:r>
            <w:r w:rsidRPr="006346FB">
              <w:rPr>
                <w:rFonts w:cs="Arial"/>
              </w:rPr>
              <w:t>S</w:t>
            </w:r>
          </w:p>
        </w:tc>
        <w:tc>
          <w:tcPr>
            <w:tcW w:w="2713" w:type="dxa"/>
          </w:tcPr>
          <w:p w14:paraId="62C1E726" w14:textId="77777777" w:rsidR="006346FB" w:rsidRPr="006346FB" w:rsidRDefault="006346FB" w:rsidP="006346FB">
            <w:pPr>
              <w:spacing w:after="0"/>
              <w:ind w:left="0"/>
              <w:rPr>
                <w:rFonts w:cs="Arial"/>
              </w:rPr>
            </w:pPr>
            <w:r w:rsidRPr="006346FB">
              <w:rPr>
                <w:rFonts w:cs="Arial"/>
              </w:rPr>
              <w:t>2,5</w:t>
            </w:r>
          </w:p>
        </w:tc>
      </w:tr>
      <w:tr w:rsidR="006346FB" w:rsidRPr="006346FB" w14:paraId="3EBE8270" w14:textId="77777777" w:rsidTr="007F268C">
        <w:trPr>
          <w:trHeight w:val="295"/>
        </w:trPr>
        <w:tc>
          <w:tcPr>
            <w:tcW w:w="2420" w:type="dxa"/>
          </w:tcPr>
          <w:p w14:paraId="3CF1423E" w14:textId="20285AD2" w:rsidR="006346FB" w:rsidRPr="006346FB" w:rsidRDefault="005273B2" w:rsidP="006346FB">
            <w:pPr>
              <w:spacing w:after="0"/>
              <w:ind w:left="0"/>
              <w:rPr>
                <w:rFonts w:cs="Arial"/>
              </w:rPr>
            </w:pPr>
            <w:r w:rsidRPr="006346FB">
              <w:rPr>
                <w:rFonts w:cs="Arial"/>
              </w:rPr>
              <w:t>A</w:t>
            </w:r>
            <w:r w:rsidR="006346FB" w:rsidRPr="006346FB">
              <w:rPr>
                <w:rFonts w:cs="Arial"/>
              </w:rPr>
              <w:t>mmoniac</w:t>
            </w:r>
          </w:p>
        </w:tc>
        <w:tc>
          <w:tcPr>
            <w:tcW w:w="2902" w:type="dxa"/>
          </w:tcPr>
          <w:p w14:paraId="0E871932" w14:textId="77777777" w:rsidR="006346FB" w:rsidRPr="006346FB" w:rsidRDefault="006346FB" w:rsidP="006346FB">
            <w:pPr>
              <w:spacing w:after="0"/>
              <w:ind w:left="0"/>
              <w:rPr>
                <w:rFonts w:cs="Arial"/>
              </w:rPr>
            </w:pPr>
            <w:r w:rsidRPr="006346FB">
              <w:rPr>
                <w:rFonts w:cs="Arial"/>
              </w:rPr>
              <w:t>NH</w:t>
            </w:r>
            <w:r w:rsidRPr="006346FB">
              <w:rPr>
                <w:rFonts w:cs="Arial"/>
                <w:vertAlign w:val="subscript"/>
              </w:rPr>
              <w:t>3</w:t>
            </w:r>
          </w:p>
        </w:tc>
        <w:tc>
          <w:tcPr>
            <w:tcW w:w="2713" w:type="dxa"/>
          </w:tcPr>
          <w:p w14:paraId="6FDE5061" w14:textId="77777777" w:rsidR="006346FB" w:rsidRPr="006346FB" w:rsidRDefault="006346FB" w:rsidP="006346FB">
            <w:pPr>
              <w:spacing w:after="0"/>
              <w:ind w:left="0"/>
              <w:rPr>
                <w:rFonts w:cs="Arial"/>
              </w:rPr>
            </w:pPr>
            <w:r w:rsidRPr="006346FB">
              <w:rPr>
                <w:rFonts w:cs="Arial"/>
              </w:rPr>
              <w:t>50</w:t>
            </w:r>
          </w:p>
        </w:tc>
      </w:tr>
    </w:tbl>
    <w:p w14:paraId="2D9EDD6D" w14:textId="77777777" w:rsidR="006346FB" w:rsidRPr="006346FB" w:rsidRDefault="006346FB" w:rsidP="006346FB">
      <w:pPr>
        <w:spacing w:after="0"/>
        <w:ind w:left="0"/>
        <w:rPr>
          <w:rFonts w:cs="Arial"/>
        </w:rPr>
      </w:pPr>
    </w:p>
    <w:p w14:paraId="42A1772A" w14:textId="77777777" w:rsidR="006346FB" w:rsidRPr="006346FB" w:rsidRDefault="006346FB" w:rsidP="005273B2">
      <w:pPr>
        <w:spacing w:after="0"/>
        <w:ind w:left="0"/>
        <w:jc w:val="both"/>
        <w:rPr>
          <w:rFonts w:cs="Arial"/>
        </w:rPr>
      </w:pPr>
      <w:r w:rsidRPr="006346FB">
        <w:rPr>
          <w:rFonts w:cs="Arial"/>
        </w:rPr>
        <w:t>Proposer une interprétation pour expliquer l’évolution de la solubilité dans l’eau des espèces chimiques ci-dessus. Une argumentation détaillée est attendue.</w:t>
      </w:r>
    </w:p>
    <w:p w14:paraId="4765548F" w14:textId="77777777" w:rsidR="006346FB" w:rsidRPr="006346FB" w:rsidRDefault="006346FB" w:rsidP="006346FB">
      <w:pPr>
        <w:spacing w:after="0"/>
        <w:ind w:left="0"/>
        <w:rPr>
          <w:rFonts w:cs="Arial"/>
        </w:rPr>
      </w:pPr>
    </w:p>
    <w:p w14:paraId="1569C4AC" w14:textId="77777777" w:rsidR="006346FB" w:rsidRPr="006346FB" w:rsidRDefault="006346FB" w:rsidP="005273B2">
      <w:pPr>
        <w:numPr>
          <w:ilvl w:val="0"/>
          <w:numId w:val="1"/>
        </w:numPr>
        <w:spacing w:after="0"/>
        <w:jc w:val="both"/>
        <w:rPr>
          <w:rFonts w:cs="Arial"/>
        </w:rPr>
      </w:pPr>
      <w:r w:rsidRPr="006346FB">
        <w:rPr>
          <w:rFonts w:cs="Arial"/>
        </w:rPr>
        <w:t>Des détecteurs de sulfure d’hydrogène ont été placés aux abords des rivages où  s’échouent les sargasses. Certains de ces détecteurs contiennent des cellules électrochimiques. Il s’agit de capteurs dont le principe de fonctionnement repose sur une transformation chimique modélisée par une réaction d’oxydo-réduction ; le sulfure d’hydrogène y est oxydé par le dioxygène de l’air. Les couples oxydants-réducteurs mis en jeu sont les suivants : H</w:t>
      </w:r>
      <w:r w:rsidRPr="006346FB">
        <w:rPr>
          <w:rFonts w:cs="Arial"/>
          <w:vertAlign w:val="subscript"/>
        </w:rPr>
        <w:t>2</w:t>
      </w:r>
      <w:r w:rsidRPr="006346FB">
        <w:rPr>
          <w:rFonts w:cs="Arial"/>
        </w:rPr>
        <w:t>SO</w:t>
      </w:r>
      <w:r w:rsidRPr="006346FB">
        <w:rPr>
          <w:rFonts w:cs="Arial"/>
          <w:vertAlign w:val="subscript"/>
        </w:rPr>
        <w:t>4</w:t>
      </w:r>
      <w:r w:rsidRPr="006346FB">
        <w:rPr>
          <w:rFonts w:cs="Arial"/>
        </w:rPr>
        <w:t>/H</w:t>
      </w:r>
      <w:r w:rsidRPr="006346FB">
        <w:rPr>
          <w:rFonts w:cs="Arial"/>
          <w:vertAlign w:val="subscript"/>
        </w:rPr>
        <w:t>2</w:t>
      </w:r>
      <w:r w:rsidRPr="006346FB">
        <w:rPr>
          <w:rFonts w:cs="Arial"/>
        </w:rPr>
        <w:t>S   et O</w:t>
      </w:r>
      <w:r w:rsidRPr="006346FB">
        <w:rPr>
          <w:rFonts w:cs="Arial"/>
          <w:vertAlign w:val="subscript"/>
        </w:rPr>
        <w:t>2</w:t>
      </w:r>
      <w:r w:rsidRPr="006346FB">
        <w:rPr>
          <w:rFonts w:cs="Arial"/>
        </w:rPr>
        <w:t>/H</w:t>
      </w:r>
      <w:r w:rsidRPr="006346FB">
        <w:rPr>
          <w:rFonts w:cs="Arial"/>
          <w:vertAlign w:val="subscript"/>
        </w:rPr>
        <w:t>2</w:t>
      </w:r>
    </w:p>
    <w:p w14:paraId="39307C7F" w14:textId="77777777" w:rsidR="005273B2" w:rsidRDefault="005273B2">
      <w:pPr>
        <w:spacing w:after="0" w:line="240" w:lineRule="auto"/>
        <w:ind w:left="0"/>
        <w:rPr>
          <w:rFonts w:cs="Arial"/>
        </w:rPr>
      </w:pPr>
      <w:r>
        <w:rPr>
          <w:rFonts w:cs="Arial"/>
        </w:rPr>
        <w:br w:type="page"/>
      </w:r>
    </w:p>
    <w:p w14:paraId="15AAC258" w14:textId="4730E0E5" w:rsidR="006346FB" w:rsidRPr="006346FB" w:rsidRDefault="006346FB" w:rsidP="005273B2">
      <w:pPr>
        <w:spacing w:after="0"/>
        <w:ind w:left="0"/>
        <w:jc w:val="both"/>
        <w:rPr>
          <w:rFonts w:cs="Arial"/>
          <w:vertAlign w:val="subscript"/>
        </w:rPr>
      </w:pPr>
      <w:r w:rsidRPr="006346FB">
        <w:rPr>
          <w:rFonts w:cs="Arial"/>
        </w:rPr>
        <w:lastRenderedPageBreak/>
        <w:t>On propose ci-dessous le schéma de Lewis de la molécule d’acide sulfurique H</w:t>
      </w:r>
      <w:r w:rsidRPr="006346FB">
        <w:rPr>
          <w:rFonts w:cs="Arial"/>
          <w:vertAlign w:val="subscript"/>
        </w:rPr>
        <w:t>2</w:t>
      </w:r>
      <w:r w:rsidRPr="006346FB">
        <w:rPr>
          <w:rFonts w:cs="Arial"/>
        </w:rPr>
        <w:t>SO</w:t>
      </w:r>
      <w:r w:rsidRPr="006346FB">
        <w:rPr>
          <w:rFonts w:cs="Arial"/>
          <w:vertAlign w:val="subscript"/>
        </w:rPr>
        <w:t>4</w:t>
      </w:r>
    </w:p>
    <w:p w14:paraId="52EE64DD" w14:textId="77777777" w:rsidR="006346FB" w:rsidRPr="005273B2" w:rsidRDefault="006346FB" w:rsidP="006346FB">
      <w:pPr>
        <w:spacing w:after="0"/>
        <w:ind w:left="0"/>
        <w:rPr>
          <w:rFonts w:cs="Arial"/>
        </w:rPr>
      </w:pPr>
      <w:r w:rsidRPr="005273B2">
        <w:rPr>
          <w:rFonts w:cs="Arial"/>
          <w:b/>
          <w:noProof/>
        </w:rPr>
        <mc:AlternateContent>
          <mc:Choice Requires="wps">
            <w:drawing>
              <wp:anchor distT="45720" distB="45720" distL="114300" distR="114300" simplePos="0" relativeHeight="251660800" behindDoc="0" locked="0" layoutInCell="1" allowOverlap="1" wp14:anchorId="66C32ED8" wp14:editId="77AE3F82">
                <wp:simplePos x="0" y="0"/>
                <wp:positionH relativeFrom="column">
                  <wp:posOffset>1002665</wp:posOffset>
                </wp:positionH>
                <wp:positionV relativeFrom="paragraph">
                  <wp:posOffset>80010</wp:posOffset>
                </wp:positionV>
                <wp:extent cx="4352925" cy="1162050"/>
                <wp:effectExtent l="0" t="0" r="9525"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162050"/>
                        </a:xfrm>
                        <a:prstGeom prst="rect">
                          <a:avLst/>
                        </a:prstGeom>
                        <a:solidFill>
                          <a:srgbClr val="FFFFFF"/>
                        </a:solidFill>
                        <a:ln w="9525">
                          <a:noFill/>
                          <a:miter lim="800000"/>
                          <a:headEnd/>
                          <a:tailEnd/>
                        </a:ln>
                      </wps:spPr>
                      <wps:txbx>
                        <w:txbxContent>
                          <w:p w14:paraId="5CCFD7B3" w14:textId="77777777" w:rsidR="006346FB" w:rsidRDefault="006346FB" w:rsidP="006346FB">
                            <w:pPr>
                              <w:jc w:val="center"/>
                            </w:pPr>
                            <w:r>
                              <w:rPr>
                                <w:rFonts w:cs="Arial"/>
                                <w:noProof/>
                              </w:rPr>
                              <w:drawing>
                                <wp:inline distT="0" distB="0" distL="0" distR="0" wp14:anchorId="1799EF59" wp14:editId="077FDEFC">
                                  <wp:extent cx="1238250" cy="820756"/>
                                  <wp:effectExtent l="0" t="0" r="0" b="0"/>
                                  <wp:docPr id="7" name="Image 7" descr="C:\Users\Frédéric\AppData\Local\Microsoft\Windows\INetCache\Content.MSO\BD7338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édéric\AppData\Local\Microsoft\Windows\INetCache\Content.MSO\BD73385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013" cy="839158"/>
                                          </a:xfrm>
                                          <a:prstGeom prst="rect">
                                            <a:avLst/>
                                          </a:prstGeom>
                                          <a:noFill/>
                                          <a:ln>
                                            <a:noFill/>
                                          </a:ln>
                                        </pic:spPr>
                                      </pic:pic>
                                    </a:graphicData>
                                  </a:graphic>
                                </wp:inline>
                              </w:drawing>
                            </w:r>
                          </w:p>
                          <w:p w14:paraId="2C92D248" w14:textId="77777777" w:rsidR="006346FB" w:rsidRPr="007A5BAE" w:rsidRDefault="006346FB" w:rsidP="006346FB">
                            <w:pPr>
                              <w:rPr>
                                <w:sz w:val="20"/>
                              </w:rPr>
                            </w:pPr>
                            <w:r w:rsidRPr="004C2427">
                              <w:rPr>
                                <w:rFonts w:cs="Arial"/>
                                <w:i/>
                                <w:sz w:val="20"/>
                              </w:rPr>
                              <w:t>https://fr.wikipedia.org/wiki/Fichier:Sulfuric_acid_lewis.png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2ED8" id="_x0000_s1027" type="#_x0000_t202" style="position:absolute;margin-left:78.95pt;margin-top:6.3pt;width:342.75pt;height:9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" stroked="f">
                <v:textbox>
                  <w:txbxContent>
                    <w:p w14:paraId="5CCFD7B3" w14:textId="77777777" w:rsidR="006346FB" w:rsidRDefault="006346FB" w:rsidP="006346FB">
                      <w:pPr>
                        <w:jc w:val="center"/>
                      </w:pPr>
                      <w:r>
                        <w:rPr>
                          <w:rFonts w:cs="Arial"/>
                          <w:noProof/>
                        </w:rPr>
                        <w:drawing>
                          <wp:inline distT="0" distB="0" distL="0" distR="0" wp14:anchorId="1799EF59" wp14:editId="077FDEFC">
                            <wp:extent cx="1238250" cy="820756"/>
                            <wp:effectExtent l="0" t="0" r="0" b="0"/>
                            <wp:docPr id="7" name="Image 7" descr="C:\Users\Frédéric\AppData\Local\Microsoft\Windows\INetCache\Content.MSO\BD7338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édéric\AppData\Local\Microsoft\Windows\INetCache\Content.MSO\BD73385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013" cy="839158"/>
                                    </a:xfrm>
                                    <a:prstGeom prst="rect">
                                      <a:avLst/>
                                    </a:prstGeom>
                                    <a:noFill/>
                                    <a:ln>
                                      <a:noFill/>
                                    </a:ln>
                                  </pic:spPr>
                                </pic:pic>
                              </a:graphicData>
                            </a:graphic>
                          </wp:inline>
                        </w:drawing>
                      </w:r>
                    </w:p>
                    <w:p w14:paraId="2C92D248" w14:textId="77777777" w:rsidR="006346FB" w:rsidRPr="007A5BAE" w:rsidRDefault="006346FB" w:rsidP="006346FB">
                      <w:pPr>
                        <w:rPr>
                          <w:sz w:val="20"/>
                        </w:rPr>
                      </w:pPr>
                      <w:r w:rsidRPr="004C2427">
                        <w:rPr>
                          <w:rFonts w:cs="Arial"/>
                          <w:i/>
                          <w:sz w:val="20"/>
                        </w:rPr>
                        <w:t>https://fr.wikipedia.org/wiki/Fichier:Sulfuric_acid_lewis.png</w:t>
                      </w:r>
                    </w:p>
                  </w:txbxContent>
                </v:textbox>
                <w10:wrap type="square"/>
              </v:shape>
            </w:pict>
          </mc:Fallback>
        </mc:AlternateContent>
      </w:r>
    </w:p>
    <w:p w14:paraId="1EA04349" w14:textId="77777777" w:rsidR="006346FB" w:rsidRPr="006346FB" w:rsidRDefault="006346FB" w:rsidP="006346FB">
      <w:pPr>
        <w:spacing w:after="0"/>
        <w:ind w:left="0"/>
        <w:rPr>
          <w:rFonts w:cs="Arial"/>
        </w:rPr>
      </w:pPr>
    </w:p>
    <w:p w14:paraId="05420890" w14:textId="77777777" w:rsidR="006346FB" w:rsidRPr="006346FB" w:rsidRDefault="006346FB" w:rsidP="006346FB">
      <w:pPr>
        <w:spacing w:after="0"/>
        <w:ind w:left="0"/>
        <w:rPr>
          <w:rFonts w:cs="Arial"/>
        </w:rPr>
      </w:pPr>
    </w:p>
    <w:p w14:paraId="514F22E6" w14:textId="77777777" w:rsidR="006346FB" w:rsidRPr="006346FB" w:rsidRDefault="006346FB" w:rsidP="006346FB">
      <w:pPr>
        <w:spacing w:after="0"/>
        <w:ind w:left="0"/>
        <w:rPr>
          <w:rFonts w:cs="Arial"/>
        </w:rPr>
      </w:pPr>
    </w:p>
    <w:p w14:paraId="6E4717AB" w14:textId="1424DCAC" w:rsidR="006346FB" w:rsidRDefault="006346FB" w:rsidP="006346FB">
      <w:pPr>
        <w:spacing w:after="0"/>
        <w:ind w:left="0"/>
        <w:rPr>
          <w:rFonts w:cs="Arial"/>
          <w:bCs/>
        </w:rPr>
      </w:pPr>
    </w:p>
    <w:p w14:paraId="65325F5D" w14:textId="58816B6B" w:rsidR="005273B2" w:rsidRDefault="005273B2" w:rsidP="006346FB">
      <w:pPr>
        <w:spacing w:after="0"/>
        <w:ind w:left="0"/>
        <w:rPr>
          <w:rFonts w:cs="Arial"/>
          <w:bCs/>
        </w:rPr>
      </w:pPr>
    </w:p>
    <w:p w14:paraId="07F57E11" w14:textId="77777777" w:rsidR="005273B2" w:rsidRPr="006346FB" w:rsidRDefault="005273B2" w:rsidP="006346FB">
      <w:pPr>
        <w:spacing w:after="0"/>
        <w:ind w:left="0"/>
        <w:rPr>
          <w:rFonts w:cs="Arial"/>
          <w:bCs/>
        </w:rPr>
      </w:pPr>
    </w:p>
    <w:p w14:paraId="3863E525" w14:textId="77777777" w:rsidR="006346FB" w:rsidRPr="006346FB" w:rsidRDefault="006346FB" w:rsidP="005273B2">
      <w:pPr>
        <w:numPr>
          <w:ilvl w:val="1"/>
          <w:numId w:val="1"/>
        </w:numPr>
        <w:spacing w:after="0"/>
        <w:jc w:val="both"/>
        <w:rPr>
          <w:rFonts w:cs="Arial"/>
          <w:bCs/>
        </w:rPr>
      </w:pPr>
      <w:r w:rsidRPr="006346FB">
        <w:rPr>
          <w:rFonts w:cs="Arial"/>
          <w:bCs/>
        </w:rPr>
        <w:t>En comparant les schémas de Lewis des molécules de sulfure d’hydrogène H</w:t>
      </w:r>
      <w:r w:rsidRPr="006346FB">
        <w:rPr>
          <w:rFonts w:cs="Arial"/>
          <w:bCs/>
          <w:vertAlign w:val="subscript"/>
        </w:rPr>
        <w:t>2</w:t>
      </w:r>
      <w:r w:rsidRPr="006346FB">
        <w:rPr>
          <w:rFonts w:cs="Arial"/>
          <w:bCs/>
        </w:rPr>
        <w:t>S et d’acide sulfurique H</w:t>
      </w:r>
      <w:r w:rsidRPr="006346FB">
        <w:rPr>
          <w:rFonts w:cs="Arial"/>
          <w:bCs/>
          <w:vertAlign w:val="subscript"/>
        </w:rPr>
        <w:t>2</w:t>
      </w:r>
      <w:r w:rsidRPr="006346FB">
        <w:rPr>
          <w:rFonts w:cs="Arial"/>
          <w:bCs/>
        </w:rPr>
        <w:t>SO</w:t>
      </w:r>
      <w:r w:rsidRPr="006346FB">
        <w:rPr>
          <w:rFonts w:cs="Arial"/>
          <w:bCs/>
          <w:vertAlign w:val="subscript"/>
        </w:rPr>
        <w:t>4</w:t>
      </w:r>
      <w:r w:rsidRPr="006346FB">
        <w:rPr>
          <w:rFonts w:cs="Arial"/>
          <w:bCs/>
        </w:rPr>
        <w:t>, indiquer quelle est la particularité de l’atome de soufre dans la molécule d’acide sulfurique.</w:t>
      </w:r>
    </w:p>
    <w:p w14:paraId="6B5A972D" w14:textId="77777777" w:rsidR="006346FB" w:rsidRPr="006346FB" w:rsidRDefault="006346FB" w:rsidP="005273B2">
      <w:pPr>
        <w:numPr>
          <w:ilvl w:val="1"/>
          <w:numId w:val="1"/>
        </w:numPr>
        <w:spacing w:after="0"/>
        <w:jc w:val="both"/>
        <w:rPr>
          <w:rFonts w:cs="Arial"/>
          <w:bCs/>
        </w:rPr>
      </w:pPr>
      <w:r w:rsidRPr="006346FB">
        <w:rPr>
          <w:rFonts w:cs="Arial"/>
          <w:bCs/>
        </w:rPr>
        <w:t>Montrer que l’équation de la réaction modélisant la transformation chimique au sein du capteur est  la suivante : H</w:t>
      </w:r>
      <w:r w:rsidRPr="006346FB">
        <w:rPr>
          <w:rFonts w:cs="Arial"/>
          <w:bCs/>
          <w:vertAlign w:val="subscript"/>
        </w:rPr>
        <w:t>2</w:t>
      </w:r>
      <w:r w:rsidRPr="006346FB">
        <w:rPr>
          <w:rFonts w:cs="Arial"/>
          <w:bCs/>
        </w:rPr>
        <w:t>S + 2 O</w:t>
      </w:r>
      <w:r w:rsidRPr="006346FB">
        <w:rPr>
          <w:rFonts w:cs="Arial"/>
          <w:bCs/>
          <w:vertAlign w:val="subscript"/>
        </w:rPr>
        <w:t>2</w:t>
      </w:r>
      <w:r w:rsidRPr="006346FB">
        <w:rPr>
          <w:rFonts w:cs="Arial"/>
          <w:bCs/>
        </w:rPr>
        <w:t xml:space="preserve"> </w:t>
      </w:r>
      <w:r w:rsidRPr="006346FB">
        <w:rPr>
          <w:rFonts w:cs="Arial"/>
          <w:bCs/>
        </w:rPr>
        <w:sym w:font="Wingdings" w:char="F0E0"/>
      </w:r>
      <w:r w:rsidRPr="006346FB">
        <w:rPr>
          <w:rFonts w:cs="Arial"/>
          <w:bCs/>
        </w:rPr>
        <w:t xml:space="preserve"> H</w:t>
      </w:r>
      <w:r w:rsidRPr="006346FB">
        <w:rPr>
          <w:rFonts w:cs="Arial"/>
          <w:bCs/>
          <w:vertAlign w:val="subscript"/>
        </w:rPr>
        <w:t>2</w:t>
      </w:r>
      <w:r w:rsidRPr="006346FB">
        <w:rPr>
          <w:rFonts w:cs="Arial"/>
          <w:bCs/>
        </w:rPr>
        <w:t>SO</w:t>
      </w:r>
      <w:r w:rsidRPr="006346FB">
        <w:rPr>
          <w:rFonts w:cs="Arial"/>
          <w:bCs/>
          <w:vertAlign w:val="subscript"/>
        </w:rPr>
        <w:t>4</w:t>
      </w:r>
      <w:r w:rsidRPr="006346FB">
        <w:rPr>
          <w:rFonts w:cs="Arial"/>
          <w:bCs/>
        </w:rPr>
        <w:t>.</w:t>
      </w:r>
    </w:p>
    <w:p w14:paraId="0D669848" w14:textId="77777777" w:rsidR="006346FB" w:rsidRPr="006346FB" w:rsidRDefault="006346FB" w:rsidP="006346FB">
      <w:pPr>
        <w:spacing w:after="0"/>
        <w:ind w:left="0"/>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866"/>
      </w:tblGrid>
      <w:tr w:rsidR="006346FB" w:rsidRPr="006346FB" w14:paraId="344A0FE8" w14:textId="77777777" w:rsidTr="007F268C">
        <w:tc>
          <w:tcPr>
            <w:tcW w:w="6629" w:type="dxa"/>
          </w:tcPr>
          <w:p w14:paraId="33ECAA18" w14:textId="77777777" w:rsidR="006346FB" w:rsidRPr="006346FB" w:rsidRDefault="006346FB" w:rsidP="005273B2">
            <w:pPr>
              <w:numPr>
                <w:ilvl w:val="0"/>
                <w:numId w:val="1"/>
              </w:numPr>
              <w:spacing w:after="0"/>
              <w:jc w:val="both"/>
              <w:rPr>
                <w:rFonts w:cs="Arial"/>
              </w:rPr>
            </w:pPr>
            <w:r w:rsidRPr="006346FB">
              <w:rPr>
                <w:rFonts w:cs="Arial"/>
              </w:rPr>
              <w:t>Le sulfure d’hydrogène produit lors de la décomposition des algues provient de la dégradation d’un acide aminé,  la   L-Cystéine dont la formule semi-développée est représentée ci-contre.</w:t>
            </w:r>
          </w:p>
        </w:tc>
        <w:tc>
          <w:tcPr>
            <w:tcW w:w="2866" w:type="dxa"/>
          </w:tcPr>
          <w:p w14:paraId="19462D71" w14:textId="77777777" w:rsidR="006346FB" w:rsidRPr="006346FB" w:rsidRDefault="006346FB" w:rsidP="006346FB">
            <w:pPr>
              <w:spacing w:after="0"/>
              <w:ind w:left="0"/>
              <w:rPr>
                <w:rFonts w:cs="Arial"/>
              </w:rPr>
            </w:pPr>
            <w:r w:rsidRPr="006346FB">
              <w:rPr>
                <w:rFonts w:cs="Arial"/>
                <w:noProof/>
              </w:rPr>
              <w:drawing>
                <wp:inline distT="0" distB="0" distL="0" distR="0" wp14:anchorId="4E80768A" wp14:editId="3150623A">
                  <wp:extent cx="1653965" cy="790575"/>
                  <wp:effectExtent l="0" t="0" r="381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751" cy="796686"/>
                          </a:xfrm>
                          <a:prstGeom prst="rect">
                            <a:avLst/>
                          </a:prstGeom>
                          <a:noFill/>
                          <a:ln>
                            <a:noFill/>
                          </a:ln>
                        </pic:spPr>
                      </pic:pic>
                    </a:graphicData>
                  </a:graphic>
                </wp:inline>
              </w:drawing>
            </w:r>
          </w:p>
        </w:tc>
      </w:tr>
    </w:tbl>
    <w:p w14:paraId="1851188A" w14:textId="77777777" w:rsidR="006346FB" w:rsidRPr="006346FB" w:rsidRDefault="006346FB" w:rsidP="005273B2">
      <w:pPr>
        <w:numPr>
          <w:ilvl w:val="1"/>
          <w:numId w:val="1"/>
        </w:numPr>
        <w:spacing w:after="0"/>
        <w:jc w:val="both"/>
        <w:rPr>
          <w:rFonts w:cs="Arial"/>
        </w:rPr>
      </w:pPr>
      <w:r w:rsidRPr="006346FB">
        <w:rPr>
          <w:rFonts w:cs="Arial"/>
        </w:rPr>
        <w:t>À quelle famille de composés est associé le groupe caractéristique entouré sur la formule de la L-Cystéine ?</w:t>
      </w:r>
    </w:p>
    <w:p w14:paraId="7A273721" w14:textId="77777777" w:rsidR="006346FB" w:rsidRPr="006346FB" w:rsidRDefault="006346FB" w:rsidP="005273B2">
      <w:pPr>
        <w:numPr>
          <w:ilvl w:val="1"/>
          <w:numId w:val="1"/>
        </w:numPr>
        <w:spacing w:after="0"/>
        <w:jc w:val="both"/>
        <w:rPr>
          <w:rFonts w:cs="Arial"/>
        </w:rPr>
      </w:pPr>
      <w:r w:rsidRPr="006346FB">
        <w:rPr>
          <w:rFonts w:cs="Arial"/>
        </w:rPr>
        <w:t xml:space="preserve">Les groupes caractéristiques présents dans cette molécule peuvent être identifiés grâce à la spectroscopie infrarouge (I.R.). </w:t>
      </w:r>
    </w:p>
    <w:p w14:paraId="4D7AD464" w14:textId="77777777" w:rsidR="006346FB" w:rsidRPr="006346FB" w:rsidRDefault="006346FB" w:rsidP="005273B2">
      <w:pPr>
        <w:spacing w:after="0"/>
        <w:ind w:left="0"/>
        <w:jc w:val="both"/>
        <w:rPr>
          <w:rFonts w:cs="Arial"/>
        </w:rPr>
      </w:pPr>
      <w:r w:rsidRPr="006346FB">
        <w:rPr>
          <w:rFonts w:cs="Arial"/>
        </w:rPr>
        <w:t>Justifier ce spectre reproduit puisse correspondre à la L-Cystéine.</w:t>
      </w:r>
    </w:p>
    <w:p w14:paraId="7C32CD47" w14:textId="77777777" w:rsidR="006346FB" w:rsidRPr="006346FB" w:rsidRDefault="006346FB" w:rsidP="006346FB">
      <w:pPr>
        <w:spacing w:after="0"/>
        <w:ind w:left="0"/>
        <w:rPr>
          <w:rFonts w:cs="Arial"/>
        </w:rPr>
      </w:pPr>
    </w:p>
    <w:p w14:paraId="43FA0B89" w14:textId="3B3A0215" w:rsidR="005273B2" w:rsidRDefault="006346FB" w:rsidP="006346FB">
      <w:pPr>
        <w:spacing w:after="0"/>
        <w:ind w:left="0"/>
        <w:jc w:val="center"/>
        <w:rPr>
          <w:rFonts w:cs="Arial"/>
          <w:i/>
        </w:rPr>
      </w:pPr>
      <w:r w:rsidRPr="006346FB">
        <w:rPr>
          <w:rFonts w:cs="Arial"/>
          <w:noProof/>
        </w:rPr>
        <w:drawing>
          <wp:inline distT="0" distB="0" distL="0" distR="0" wp14:anchorId="73D51998" wp14:editId="5143C3D8">
            <wp:extent cx="5661780" cy="24193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4567" cy="2420541"/>
                    </a:xfrm>
                    <a:prstGeom prst="rect">
                      <a:avLst/>
                    </a:prstGeom>
                    <a:noFill/>
                    <a:ln>
                      <a:noFill/>
                    </a:ln>
                  </pic:spPr>
                </pic:pic>
              </a:graphicData>
            </a:graphic>
          </wp:inline>
        </w:drawing>
      </w:r>
      <w:r w:rsidRPr="006346FB">
        <w:rPr>
          <w:rFonts w:cs="Arial"/>
          <w:i/>
        </w:rPr>
        <w:t>https://sdbs.db.aist.go.jp/sdbs/cgi-bin/direct_frame_top.cgi</w:t>
      </w:r>
    </w:p>
    <w:p w14:paraId="3B6EB233" w14:textId="77777777" w:rsidR="005273B2" w:rsidRDefault="005273B2">
      <w:pPr>
        <w:spacing w:after="0" w:line="240" w:lineRule="auto"/>
        <w:ind w:left="0"/>
        <w:rPr>
          <w:rFonts w:cs="Arial"/>
          <w:i/>
        </w:rPr>
      </w:pPr>
      <w:r>
        <w:rPr>
          <w:rFonts w:cs="Arial"/>
          <w:i/>
        </w:rPr>
        <w:br w:type="page"/>
      </w:r>
    </w:p>
    <w:p w14:paraId="656A5489" w14:textId="77777777" w:rsidR="006346FB" w:rsidRPr="006346FB" w:rsidRDefault="006346FB" w:rsidP="005273B2">
      <w:pPr>
        <w:spacing w:after="0"/>
        <w:ind w:left="0"/>
        <w:rPr>
          <w:rFonts w:cs="Arial"/>
          <w:i/>
        </w:rPr>
      </w:pPr>
    </w:p>
    <w:p w14:paraId="6A997270" w14:textId="77777777" w:rsidR="006346FB" w:rsidRPr="006346FB" w:rsidRDefault="006346FB" w:rsidP="005273B2">
      <w:pPr>
        <w:numPr>
          <w:ilvl w:val="0"/>
          <w:numId w:val="1"/>
        </w:numPr>
        <w:spacing w:after="0"/>
        <w:jc w:val="both"/>
        <w:rPr>
          <w:rFonts w:cs="Arial"/>
        </w:rPr>
      </w:pPr>
      <w:r w:rsidRPr="006346FB">
        <w:rPr>
          <w:rFonts w:cs="Arial"/>
        </w:rPr>
        <w:t>De nombreuses solutions sont envisagées afin de traiter les sargasses collectées après chaque échouage. Notamment, la combustion des algues afin de produire de l’énergie électrique.</w:t>
      </w:r>
    </w:p>
    <w:p w14:paraId="1BC83391" w14:textId="77777777" w:rsidR="006346FB" w:rsidRPr="006346FB" w:rsidRDefault="005B2A43" w:rsidP="006346FB">
      <w:pPr>
        <w:spacing w:after="0"/>
        <w:ind w:left="0"/>
        <w:rPr>
          <w:rFonts w:cs="Arial"/>
          <w:i/>
        </w:rPr>
      </w:pPr>
      <w:hyperlink r:id="rId15" w:history="1">
        <w:r w:rsidR="006346FB" w:rsidRPr="006346FB">
          <w:rPr>
            <w:rStyle w:val="Lienhypertexte"/>
            <w:rFonts w:cs="Arial"/>
            <w:i/>
          </w:rPr>
          <w:t>https://martinique.ademe.fr/sites/default/files/situation-perspectives-valorisation-sargasses.pdf</w:t>
        </w:r>
      </w:hyperlink>
    </w:p>
    <w:p w14:paraId="6A6F0555" w14:textId="77777777" w:rsidR="006346FB" w:rsidRPr="006346FB" w:rsidRDefault="006346FB" w:rsidP="006346FB">
      <w:pPr>
        <w:spacing w:after="0"/>
        <w:ind w:left="0"/>
        <w:rPr>
          <w:rFonts w:cs="Arial"/>
        </w:rPr>
      </w:pPr>
    </w:p>
    <w:p w14:paraId="402C8EE8" w14:textId="77777777" w:rsidR="006346FB" w:rsidRPr="006346FB" w:rsidRDefault="006346FB" w:rsidP="005273B2">
      <w:pPr>
        <w:spacing w:after="0"/>
        <w:ind w:left="0"/>
        <w:jc w:val="both"/>
        <w:rPr>
          <w:rFonts w:cs="Arial"/>
          <w:i/>
        </w:rPr>
      </w:pPr>
      <w:r w:rsidRPr="006346FB">
        <w:rPr>
          <w:rFonts w:cs="Arial"/>
        </w:rPr>
        <w:t>L’un des inconvénients de la combustion de la sargasse est que le sulfure d'hydrogène et son produit de combustion, le dioxyde de soufre, SO</w:t>
      </w:r>
      <w:r w:rsidRPr="006346FB">
        <w:rPr>
          <w:rFonts w:cs="Arial"/>
          <w:vertAlign w:val="subscript"/>
        </w:rPr>
        <w:t>2</w:t>
      </w:r>
      <w:r w:rsidRPr="006346FB">
        <w:rPr>
          <w:rFonts w:cs="Arial"/>
        </w:rPr>
        <w:t>, réagissent avec les métaux et forment des produits noirs à leur surface. </w:t>
      </w:r>
    </w:p>
    <w:p w14:paraId="08732BE2" w14:textId="77777777" w:rsidR="006346FB" w:rsidRPr="006346FB" w:rsidRDefault="006346FB" w:rsidP="005273B2">
      <w:pPr>
        <w:numPr>
          <w:ilvl w:val="1"/>
          <w:numId w:val="1"/>
        </w:numPr>
        <w:spacing w:after="0"/>
        <w:jc w:val="both"/>
        <w:rPr>
          <w:rFonts w:cs="Arial"/>
        </w:rPr>
      </w:pPr>
      <w:r w:rsidRPr="006346FB">
        <w:rPr>
          <w:rFonts w:cs="Arial"/>
        </w:rPr>
        <w:t>Sachant que l’eau est l’autre produit de la combustion de H</w:t>
      </w:r>
      <w:r w:rsidRPr="006346FB">
        <w:rPr>
          <w:rFonts w:cs="Arial"/>
          <w:vertAlign w:val="subscript"/>
        </w:rPr>
        <w:t>2</w:t>
      </w:r>
      <w:r w:rsidRPr="006346FB">
        <w:rPr>
          <w:rFonts w:cs="Arial"/>
        </w:rPr>
        <w:t>S, écrire l’équation de la réaction modélisant la combustion du sulfure d’hydrogène dans l’air.</w:t>
      </w:r>
    </w:p>
    <w:p w14:paraId="45672929" w14:textId="77777777" w:rsidR="006346FB" w:rsidRPr="006346FB" w:rsidRDefault="006346FB" w:rsidP="005273B2">
      <w:pPr>
        <w:numPr>
          <w:ilvl w:val="1"/>
          <w:numId w:val="1"/>
        </w:numPr>
        <w:spacing w:after="0"/>
        <w:jc w:val="both"/>
        <w:rPr>
          <w:rFonts w:cs="Arial"/>
        </w:rPr>
      </w:pPr>
      <w:r w:rsidRPr="006346FB">
        <w:rPr>
          <w:rFonts w:cs="Arial"/>
        </w:rPr>
        <w:t xml:space="preserve">A partir des données, évaluer l’énergie molaire de la combustion du sulfure d’hydrogène. Le schéma de Lewis du dioxyde de soufre est  représenté ci-dessous. </w:t>
      </w:r>
    </w:p>
    <w:p w14:paraId="21A2DC3E" w14:textId="77777777" w:rsidR="006346FB" w:rsidRPr="006346FB" w:rsidRDefault="006346FB" w:rsidP="006346FB">
      <w:pPr>
        <w:spacing w:after="0"/>
        <w:ind w:left="0"/>
        <w:jc w:val="center"/>
        <w:rPr>
          <w:rFonts w:cs="Arial"/>
        </w:rPr>
      </w:pPr>
      <w:r w:rsidRPr="006346FB">
        <w:rPr>
          <w:rFonts w:cs="Arial"/>
          <w:noProof/>
        </w:rPr>
        <w:drawing>
          <wp:inline distT="0" distB="0" distL="0" distR="0" wp14:anchorId="2FBD1767" wp14:editId="04378D68">
            <wp:extent cx="866775" cy="339561"/>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339561"/>
                    </a:xfrm>
                    <a:prstGeom prst="rect">
                      <a:avLst/>
                    </a:prstGeom>
                    <a:noFill/>
                    <a:ln>
                      <a:noFill/>
                    </a:ln>
                  </pic:spPr>
                </pic:pic>
              </a:graphicData>
            </a:graphic>
          </wp:inline>
        </w:drawing>
      </w:r>
    </w:p>
    <w:p w14:paraId="7FE801E6" w14:textId="77777777" w:rsidR="006346FB" w:rsidRPr="006346FB" w:rsidRDefault="006346FB" w:rsidP="005273B2">
      <w:pPr>
        <w:numPr>
          <w:ilvl w:val="1"/>
          <w:numId w:val="1"/>
        </w:numPr>
        <w:spacing w:after="0"/>
        <w:jc w:val="both"/>
        <w:rPr>
          <w:rFonts w:cs="Arial"/>
        </w:rPr>
      </w:pPr>
      <w:r w:rsidRPr="006346FB">
        <w:rPr>
          <w:rFonts w:cs="Arial"/>
        </w:rPr>
        <w:t>Cette transformation est-elle endothermique ou exothermique ? Justifier votre réponse.</w:t>
      </w:r>
    </w:p>
    <w:p w14:paraId="029DCA6C" w14:textId="77777777" w:rsidR="006346FB" w:rsidRPr="006346FB" w:rsidRDefault="006346FB" w:rsidP="006346FB">
      <w:pPr>
        <w:spacing w:after="0"/>
        <w:ind w:left="0"/>
        <w:rPr>
          <w:rFonts w:cs="Arial"/>
        </w:rPr>
      </w:pPr>
      <w:bookmarkStart w:id="0" w:name="_GoBack"/>
      <w:bookmarkEnd w:id="0"/>
    </w:p>
    <w:sectPr w:rsidR="006346FB" w:rsidRPr="006346FB" w:rsidSect="005273B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D6977" w14:textId="77777777" w:rsidR="00B332B3" w:rsidRDefault="00B332B3" w:rsidP="0053612B">
      <w:pPr>
        <w:spacing w:after="0" w:line="240" w:lineRule="auto"/>
      </w:pPr>
      <w:r>
        <w:separator/>
      </w:r>
    </w:p>
  </w:endnote>
  <w:endnote w:type="continuationSeparator" w:id="0">
    <w:p w14:paraId="45920ACC" w14:textId="77777777" w:rsidR="00B332B3" w:rsidRDefault="00B332B3"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5B52E" w14:textId="77777777" w:rsidR="00B332B3" w:rsidRDefault="00B332B3" w:rsidP="0053612B">
      <w:pPr>
        <w:spacing w:after="0" w:line="240" w:lineRule="auto"/>
      </w:pPr>
      <w:r>
        <w:separator/>
      </w:r>
    </w:p>
  </w:footnote>
  <w:footnote w:type="continuationSeparator" w:id="0">
    <w:p w14:paraId="0AA110BA" w14:textId="77777777" w:rsidR="00B332B3" w:rsidRDefault="00B332B3"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92B"/>
    <w:multiLevelType w:val="multilevel"/>
    <w:tmpl w:val="F2FE798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B5063"/>
    <w:multiLevelType w:val="hybridMultilevel"/>
    <w:tmpl w:val="4E9A011E"/>
    <w:lvl w:ilvl="0" w:tplc="040C0001">
      <w:start w:val="1"/>
      <w:numFmt w:val="bullet"/>
      <w:lvlText w:val=""/>
      <w:lvlJc w:val="left"/>
      <w:pPr>
        <w:ind w:left="1440" w:hanging="360"/>
      </w:pPr>
      <w:rPr>
        <w:rFonts w:ascii="Symbol" w:hAnsi="Symbol" w:hint="default"/>
      </w:rPr>
    </w:lvl>
    <w:lvl w:ilvl="1" w:tplc="85C2DA56">
      <w:numFmt w:val="bullet"/>
      <w:lvlText w:val=""/>
      <w:lvlJc w:val="left"/>
      <w:pPr>
        <w:ind w:left="2160" w:hanging="360"/>
      </w:pPr>
      <w:rPr>
        <w:rFonts w:ascii="Symbol" w:eastAsiaTheme="minorHAnsi" w:hAnsi="Symbo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6D06FE6"/>
    <w:multiLevelType w:val="hybridMultilevel"/>
    <w:tmpl w:val="5B3C9282"/>
    <w:lvl w:ilvl="0" w:tplc="64DE0E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563A"/>
    <w:rsid w:val="001771F9"/>
    <w:rsid w:val="001B0F11"/>
    <w:rsid w:val="00216DBE"/>
    <w:rsid w:val="0023120E"/>
    <w:rsid w:val="002356EA"/>
    <w:rsid w:val="002A68A6"/>
    <w:rsid w:val="002B20A9"/>
    <w:rsid w:val="002E4943"/>
    <w:rsid w:val="003408B3"/>
    <w:rsid w:val="003D1776"/>
    <w:rsid w:val="0048373A"/>
    <w:rsid w:val="004B41C6"/>
    <w:rsid w:val="004F13CF"/>
    <w:rsid w:val="005122FA"/>
    <w:rsid w:val="005273B2"/>
    <w:rsid w:val="0053612B"/>
    <w:rsid w:val="00571B73"/>
    <w:rsid w:val="005822C2"/>
    <w:rsid w:val="005B2A43"/>
    <w:rsid w:val="005F583D"/>
    <w:rsid w:val="00626E0F"/>
    <w:rsid w:val="00634187"/>
    <w:rsid w:val="006346FB"/>
    <w:rsid w:val="00643D11"/>
    <w:rsid w:val="006560C4"/>
    <w:rsid w:val="0067731A"/>
    <w:rsid w:val="00680041"/>
    <w:rsid w:val="006A2305"/>
    <w:rsid w:val="006B1682"/>
    <w:rsid w:val="006E390A"/>
    <w:rsid w:val="00704AA4"/>
    <w:rsid w:val="007110B0"/>
    <w:rsid w:val="007275B1"/>
    <w:rsid w:val="0077193A"/>
    <w:rsid w:val="00772C44"/>
    <w:rsid w:val="007845EA"/>
    <w:rsid w:val="007A7764"/>
    <w:rsid w:val="007C35A8"/>
    <w:rsid w:val="00826640"/>
    <w:rsid w:val="00837873"/>
    <w:rsid w:val="0084040C"/>
    <w:rsid w:val="00857478"/>
    <w:rsid w:val="00860F2B"/>
    <w:rsid w:val="00873D79"/>
    <w:rsid w:val="00875770"/>
    <w:rsid w:val="0089178E"/>
    <w:rsid w:val="00893F38"/>
    <w:rsid w:val="008E2217"/>
    <w:rsid w:val="008E5053"/>
    <w:rsid w:val="008F477F"/>
    <w:rsid w:val="008F72C8"/>
    <w:rsid w:val="00977ADB"/>
    <w:rsid w:val="009D1A0F"/>
    <w:rsid w:val="009D7A17"/>
    <w:rsid w:val="009E0FEA"/>
    <w:rsid w:val="00A30FA0"/>
    <w:rsid w:val="00A61AC9"/>
    <w:rsid w:val="00A76AD3"/>
    <w:rsid w:val="00AB4BAE"/>
    <w:rsid w:val="00AD38CA"/>
    <w:rsid w:val="00AF5BC9"/>
    <w:rsid w:val="00B01E20"/>
    <w:rsid w:val="00B13C1A"/>
    <w:rsid w:val="00B2660B"/>
    <w:rsid w:val="00B332B3"/>
    <w:rsid w:val="00B850C9"/>
    <w:rsid w:val="00B92318"/>
    <w:rsid w:val="00C17A52"/>
    <w:rsid w:val="00C33076"/>
    <w:rsid w:val="00C44650"/>
    <w:rsid w:val="00C67037"/>
    <w:rsid w:val="00C8311A"/>
    <w:rsid w:val="00CA5A3D"/>
    <w:rsid w:val="00CA5D1C"/>
    <w:rsid w:val="00CB5AF5"/>
    <w:rsid w:val="00CB6093"/>
    <w:rsid w:val="00CC0053"/>
    <w:rsid w:val="00D15825"/>
    <w:rsid w:val="00D545E4"/>
    <w:rsid w:val="00D760A4"/>
    <w:rsid w:val="00D97177"/>
    <w:rsid w:val="00E32F53"/>
    <w:rsid w:val="00E51C64"/>
    <w:rsid w:val="00E5600F"/>
    <w:rsid w:val="00E63874"/>
    <w:rsid w:val="00EA0C7A"/>
    <w:rsid w:val="00EA19A6"/>
    <w:rsid w:val="00EE1F69"/>
    <w:rsid w:val="00F03BC8"/>
    <w:rsid w:val="00F06AF1"/>
    <w:rsid w:val="00F074C8"/>
    <w:rsid w:val="00F13990"/>
    <w:rsid w:val="00FA2E0B"/>
    <w:rsid w:val="00FA75C8"/>
    <w:rsid w:val="00FC70A9"/>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styleId="Lienhypertexte">
    <w:name w:val="Hyperlink"/>
    <w:basedOn w:val="Policepardfaut"/>
    <w:uiPriority w:val="99"/>
    <w:unhideWhenUsed/>
    <w:rsid w:val="006346FB"/>
    <w:rPr>
      <w:color w:val="0000FF" w:themeColor="hyperlink"/>
      <w:u w:val="single"/>
    </w:rPr>
  </w:style>
  <w:style w:type="character" w:styleId="Mentionnonrsolue">
    <w:name w:val="Unresolved Mention"/>
    <w:basedOn w:val="Policepardfaut"/>
    <w:uiPriority w:val="99"/>
    <w:semiHidden/>
    <w:unhideWhenUsed/>
    <w:rsid w:val="0052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30.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martinique.ademe.fr/sites/default/files/situation-perspectives-valorisation-sargasses.pdf" TargetMode="Externa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2020-03-16T12:42:00Z</dcterms:created>
  <dcterms:modified xsi:type="dcterms:W3CDTF">2020-03-16T12:45:00Z</dcterms:modified>
</cp:coreProperties>
</file>