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pPr w:leftFromText="141" w:rightFromText="141" w:vertAnchor="text" w:horzAnchor="margin" w:tblpX="40" w:tblpY="122"/>
        <w:tblW w:w="10031" w:type="dxa"/>
        <w:tblLook w:val="04A0" w:firstRow="1" w:lastRow="0" w:firstColumn="1" w:lastColumn="0" w:noHBand="0" w:noVBand="1"/>
      </w:tblPr>
      <w:tblGrid>
        <w:gridCol w:w="10031"/>
      </w:tblGrid>
      <w:tr w:rsidR="0089178E" w14:paraId="4713D40A" w14:textId="77777777" w:rsidTr="003A014A">
        <w:tc>
          <w:tcPr>
            <w:tcW w:w="10031" w:type="dxa"/>
          </w:tcPr>
          <w:p w14:paraId="69F069B2" w14:textId="53323055" w:rsidR="0089178E" w:rsidRDefault="0089178E" w:rsidP="003A014A">
            <w:pPr>
              <w:spacing w:line="240" w:lineRule="auto"/>
              <w:ind w:left="0"/>
              <w:jc w:val="center"/>
              <w:rPr>
                <w:rFonts w:eastAsia="Times New Roman"/>
                <w:b/>
                <w:color w:val="595959" w:themeColor="text1" w:themeTint="A6"/>
                <w:sz w:val="28"/>
                <w:szCs w:val="22"/>
              </w:rPr>
            </w:pPr>
            <w:r w:rsidRPr="00E51FB5">
              <w:rPr>
                <w:rFonts w:eastAsia="Times New Roman"/>
                <w:b/>
                <w:szCs w:val="22"/>
              </w:rPr>
              <w:t>ÉPREUVES COMMUNES DE CONTRÔLE CONTINU</w:t>
            </w:r>
            <w:r w:rsidR="006D1566">
              <w:rPr>
                <w:rFonts w:eastAsia="Times New Roman"/>
                <w:b/>
                <w:szCs w:val="22"/>
              </w:rPr>
              <w:tab/>
              <w:t>2020</w:t>
            </w:r>
            <w:r w:rsidR="006D1566">
              <w:rPr>
                <w:rFonts w:eastAsia="Times New Roman"/>
                <w:b/>
                <w:szCs w:val="22"/>
              </w:rPr>
              <w:br/>
            </w:r>
            <w:hyperlink r:id="rId7" w:history="1">
              <w:r w:rsidR="006D1566" w:rsidRPr="006B3E0C">
                <w:rPr>
                  <w:rStyle w:val="Lienhypertexte"/>
                  <w:rFonts w:eastAsia="Times New Roman"/>
                  <w:b/>
                  <w:szCs w:val="22"/>
                </w:rPr>
                <w:t>http://labolycee.org</w:t>
              </w:r>
            </w:hyperlink>
            <w:r w:rsidR="006D1566">
              <w:rPr>
                <w:rFonts w:eastAsia="Times New Roman"/>
                <w:b/>
                <w:color w:val="595959" w:themeColor="text1" w:themeTint="A6"/>
                <w:szCs w:val="22"/>
              </w:rPr>
              <w:t xml:space="preserve"> </w:t>
            </w:r>
          </w:p>
        </w:tc>
      </w:tr>
      <w:tr w:rsidR="0089178E" w14:paraId="129B2E26" w14:textId="77777777" w:rsidTr="003A014A">
        <w:tc>
          <w:tcPr>
            <w:tcW w:w="10031" w:type="dxa"/>
          </w:tcPr>
          <w:p w14:paraId="2EF13902" w14:textId="55919C9E" w:rsidR="0089178E" w:rsidRPr="00893F38" w:rsidRDefault="0089178E" w:rsidP="003A014A">
            <w:pPr>
              <w:spacing w:line="240" w:lineRule="auto"/>
              <w:ind w:left="0"/>
              <w:rPr>
                <w:rFonts w:eastAsia="Times New Roman"/>
                <w:b/>
                <w:color w:val="000000" w:themeColor="text1"/>
                <w:sz w:val="20"/>
                <w:szCs w:val="22"/>
              </w:rPr>
            </w:pPr>
            <w:r w:rsidRPr="00626E0F">
              <w:rPr>
                <w:rFonts w:eastAsia="Times New Roman"/>
                <w:b/>
                <w:color w:val="000000" w:themeColor="text1"/>
                <w:sz w:val="20"/>
                <w:szCs w:val="22"/>
              </w:rPr>
              <w:t>CLASSE :</w:t>
            </w:r>
            <w:r w:rsidRPr="00626E0F">
              <w:rPr>
                <w:rFonts w:eastAsia="Times New Roman"/>
                <w:color w:val="000000" w:themeColor="text1"/>
                <w:sz w:val="20"/>
                <w:szCs w:val="22"/>
              </w:rPr>
              <w:t xml:space="preserve"> Première</w:t>
            </w:r>
            <w:r w:rsidR="006D1566">
              <w:rPr>
                <w:rFonts w:eastAsia="Times New Roman"/>
                <w:color w:val="000000" w:themeColor="text1"/>
                <w:sz w:val="20"/>
                <w:szCs w:val="22"/>
              </w:rPr>
              <w:tab/>
            </w:r>
            <w:r w:rsidR="006D1566">
              <w:rPr>
                <w:rFonts w:eastAsia="Times New Roman"/>
                <w:color w:val="000000" w:themeColor="text1"/>
                <w:sz w:val="20"/>
                <w:szCs w:val="22"/>
              </w:rPr>
              <w:tab/>
            </w:r>
            <w:r w:rsidR="006D1566">
              <w:rPr>
                <w:rFonts w:eastAsia="Times New Roman"/>
                <w:color w:val="000000" w:themeColor="text1"/>
                <w:sz w:val="20"/>
                <w:szCs w:val="22"/>
              </w:rPr>
              <w:tab/>
            </w:r>
            <w:r w:rsidR="006D1566">
              <w:rPr>
                <w:rFonts w:eastAsia="Times New Roman"/>
                <w:color w:val="000000" w:themeColor="text1"/>
                <w:sz w:val="20"/>
                <w:szCs w:val="22"/>
              </w:rPr>
              <w:tab/>
            </w:r>
            <w:r w:rsidR="006D1566">
              <w:rPr>
                <w:rFonts w:eastAsia="Times New Roman"/>
                <w:color w:val="000000" w:themeColor="text1"/>
                <w:sz w:val="20"/>
                <w:szCs w:val="22"/>
              </w:rPr>
              <w:tab/>
            </w:r>
            <w:r w:rsidRPr="00893F38">
              <w:rPr>
                <w:rFonts w:eastAsia="Times New Roman"/>
                <w:b/>
                <w:color w:val="000000" w:themeColor="text1"/>
                <w:sz w:val="20"/>
                <w:szCs w:val="22"/>
              </w:rPr>
              <w:t>E3C</w:t>
            </w:r>
            <w:r>
              <w:rPr>
                <w:rFonts w:eastAsia="Times New Roman"/>
                <w:b/>
                <w:color w:val="000000" w:themeColor="text1"/>
                <w:sz w:val="20"/>
                <w:szCs w:val="22"/>
              </w:rPr>
              <w:t xml:space="preserve"> : </w:t>
            </w:r>
            <w:sdt>
              <w:sdtPr>
                <w:rPr>
                  <w:rFonts w:eastAsia="Times New Roman"/>
                  <w:color w:val="000000" w:themeColor="text1"/>
                  <w:sz w:val="20"/>
                  <w:szCs w:val="22"/>
                </w:rPr>
                <w:id w:val="1990283991"/>
                <w14:checkbox>
                  <w14:checked w14:val="0"/>
                  <w14:checkedState w14:val="2612" w14:font="MS Gothic"/>
                  <w14:uncheckedState w14:val="2610" w14:font="MS Gothic"/>
                </w14:checkbox>
              </w:sdtPr>
              <w:sdtEndPr/>
              <w:sdtContent>
                <w:r>
                  <w:rPr>
                    <w:rFonts w:ascii="MS Gothic" w:eastAsia="MS Gothic" w:hAnsi="MS Gothic" w:hint="eastAsia"/>
                    <w:color w:val="000000" w:themeColor="text1"/>
                    <w:sz w:val="20"/>
                    <w:szCs w:val="22"/>
                  </w:rPr>
                  <w:t>☐</w:t>
                </w:r>
              </w:sdtContent>
            </w:sdt>
            <w:r w:rsidRPr="00626E0F">
              <w:rPr>
                <w:rFonts w:eastAsia="Times New Roman"/>
                <w:color w:val="000000" w:themeColor="text1"/>
                <w:sz w:val="20"/>
                <w:szCs w:val="22"/>
              </w:rPr>
              <w:t xml:space="preserve"> </w:t>
            </w:r>
            <w:r>
              <w:rPr>
                <w:rFonts w:eastAsia="Times New Roman"/>
                <w:color w:val="000000" w:themeColor="text1"/>
                <w:sz w:val="20"/>
                <w:szCs w:val="22"/>
              </w:rPr>
              <w:t>E3C1</w:t>
            </w:r>
            <w:r w:rsidRPr="00626E0F">
              <w:rPr>
                <w:rFonts w:eastAsia="Times New Roman"/>
                <w:color w:val="000000" w:themeColor="text1"/>
                <w:sz w:val="20"/>
                <w:szCs w:val="22"/>
              </w:rPr>
              <w:t xml:space="preserve"> </w:t>
            </w:r>
            <w:sdt>
              <w:sdtPr>
                <w:rPr>
                  <w:rFonts w:eastAsia="Times New Roman"/>
                  <w:color w:val="000000" w:themeColor="text1"/>
                  <w:sz w:val="20"/>
                  <w:szCs w:val="22"/>
                </w:rPr>
                <w:id w:val="1774132376"/>
                <w14:checkbox>
                  <w14:checked w14:val="1"/>
                  <w14:checkedState w14:val="2612" w14:font="MS Gothic"/>
                  <w14:uncheckedState w14:val="2610" w14:font="MS Gothic"/>
                </w14:checkbox>
              </w:sdtPr>
              <w:sdtEndPr/>
              <w:sdtContent>
                <w:r>
                  <w:rPr>
                    <w:rFonts w:ascii="MS Gothic" w:eastAsia="MS Gothic" w:hAnsi="MS Gothic" w:hint="eastAsia"/>
                    <w:color w:val="000000" w:themeColor="text1"/>
                    <w:sz w:val="20"/>
                    <w:szCs w:val="22"/>
                  </w:rPr>
                  <w:t>☒</w:t>
                </w:r>
              </w:sdtContent>
            </w:sdt>
            <w:r>
              <w:rPr>
                <w:rFonts w:eastAsia="Times New Roman"/>
                <w:color w:val="000000" w:themeColor="text1"/>
                <w:sz w:val="20"/>
                <w:szCs w:val="22"/>
              </w:rPr>
              <w:t xml:space="preserve"> E3C2</w:t>
            </w:r>
            <w:r w:rsidRPr="00626E0F">
              <w:rPr>
                <w:rFonts w:eastAsia="Times New Roman"/>
                <w:color w:val="000000" w:themeColor="text1"/>
                <w:sz w:val="20"/>
                <w:szCs w:val="22"/>
              </w:rPr>
              <w:t xml:space="preserve"> </w:t>
            </w:r>
            <w:sdt>
              <w:sdtPr>
                <w:rPr>
                  <w:rFonts w:eastAsia="Times New Roman"/>
                  <w:color w:val="000000" w:themeColor="text1"/>
                  <w:sz w:val="20"/>
                  <w:szCs w:val="22"/>
                </w:rPr>
                <w:id w:val="1252311351"/>
                <w14:checkbox>
                  <w14:checked w14:val="0"/>
                  <w14:checkedState w14:val="2612" w14:font="MS Gothic"/>
                  <w14:uncheckedState w14:val="2610" w14:font="MS Gothic"/>
                </w14:checkbox>
              </w:sdtPr>
              <w:sdtEndPr/>
              <w:sdtContent>
                <w:r>
                  <w:rPr>
                    <w:rFonts w:ascii="MS Gothic" w:eastAsia="MS Gothic" w:hAnsi="MS Gothic" w:hint="eastAsia"/>
                    <w:color w:val="000000" w:themeColor="text1"/>
                    <w:sz w:val="20"/>
                    <w:szCs w:val="22"/>
                  </w:rPr>
                  <w:t>☐</w:t>
                </w:r>
              </w:sdtContent>
            </w:sdt>
            <w:r w:rsidRPr="00626E0F">
              <w:rPr>
                <w:rFonts w:eastAsia="Times New Roman"/>
                <w:color w:val="000000" w:themeColor="text1"/>
                <w:sz w:val="20"/>
                <w:szCs w:val="22"/>
              </w:rPr>
              <w:t xml:space="preserve"> </w:t>
            </w:r>
            <w:r>
              <w:rPr>
                <w:rFonts w:eastAsia="Times New Roman"/>
                <w:color w:val="000000" w:themeColor="text1"/>
                <w:sz w:val="20"/>
                <w:szCs w:val="22"/>
              </w:rPr>
              <w:t>E3C3</w:t>
            </w:r>
          </w:p>
          <w:p w14:paraId="5BEB5CA4" w14:textId="2D3070A6" w:rsidR="0089178E" w:rsidRPr="00626E0F" w:rsidRDefault="0089178E" w:rsidP="006D1566">
            <w:pPr>
              <w:spacing w:line="240" w:lineRule="auto"/>
              <w:ind w:left="34"/>
              <w:rPr>
                <w:rFonts w:eastAsia="Times New Roman"/>
                <w:b/>
                <w:color w:val="000000" w:themeColor="text1"/>
                <w:sz w:val="20"/>
                <w:szCs w:val="22"/>
              </w:rPr>
            </w:pPr>
            <w:r w:rsidRPr="00626E0F">
              <w:rPr>
                <w:rFonts w:eastAsia="Times New Roman"/>
                <w:b/>
                <w:color w:val="000000" w:themeColor="text1"/>
                <w:sz w:val="20"/>
                <w:szCs w:val="22"/>
              </w:rPr>
              <w:t>VOIE :</w:t>
            </w:r>
            <w:r w:rsidRPr="00626E0F">
              <w:rPr>
                <w:rFonts w:eastAsia="Times New Roman"/>
                <w:color w:val="000000" w:themeColor="text1"/>
                <w:sz w:val="20"/>
                <w:szCs w:val="22"/>
              </w:rPr>
              <w:t xml:space="preserve"> </w:t>
            </w:r>
            <w:sdt>
              <w:sdtPr>
                <w:rPr>
                  <w:rFonts w:eastAsia="Times New Roman"/>
                  <w:color w:val="000000" w:themeColor="text1"/>
                  <w:sz w:val="20"/>
                  <w:szCs w:val="22"/>
                </w:rPr>
                <w:id w:val="1896242340"/>
                <w14:checkbox>
                  <w14:checked w14:val="1"/>
                  <w14:checkedState w14:val="2612" w14:font="MS Gothic"/>
                  <w14:uncheckedState w14:val="2610" w14:font="MS Gothic"/>
                </w14:checkbox>
              </w:sdtPr>
              <w:sdtEndPr/>
              <w:sdtContent>
                <w:r>
                  <w:rPr>
                    <w:rFonts w:ascii="MS Gothic" w:eastAsia="MS Gothic" w:hAnsi="MS Gothic" w:hint="eastAsia"/>
                    <w:color w:val="000000" w:themeColor="text1"/>
                    <w:sz w:val="20"/>
                    <w:szCs w:val="22"/>
                  </w:rPr>
                  <w:t>☒</w:t>
                </w:r>
              </w:sdtContent>
            </w:sdt>
            <w:r w:rsidRPr="00626E0F">
              <w:rPr>
                <w:rFonts w:eastAsia="Times New Roman"/>
                <w:color w:val="000000" w:themeColor="text1"/>
                <w:sz w:val="20"/>
                <w:szCs w:val="22"/>
              </w:rPr>
              <w:t xml:space="preserve"> Générale </w:t>
            </w:r>
            <w:r w:rsidR="006D1566">
              <w:rPr>
                <w:rFonts w:ascii="MS Gothic" w:eastAsia="MS Gothic" w:hAnsi="MS Gothic"/>
                <w:color w:val="000000" w:themeColor="text1"/>
                <w:sz w:val="20"/>
                <w:szCs w:val="22"/>
              </w:rPr>
              <w:tab/>
            </w:r>
            <w:r w:rsidR="006D1566">
              <w:rPr>
                <w:rFonts w:ascii="MS Gothic" w:eastAsia="MS Gothic" w:hAnsi="MS Gothic"/>
                <w:color w:val="000000" w:themeColor="text1"/>
                <w:sz w:val="20"/>
                <w:szCs w:val="22"/>
              </w:rPr>
              <w:tab/>
            </w:r>
            <w:r w:rsidR="006D1566">
              <w:rPr>
                <w:rFonts w:ascii="MS Gothic" w:eastAsia="MS Gothic" w:hAnsi="MS Gothic"/>
                <w:color w:val="000000" w:themeColor="text1"/>
                <w:sz w:val="20"/>
                <w:szCs w:val="22"/>
              </w:rPr>
              <w:tab/>
            </w:r>
            <w:r w:rsidR="006D1566">
              <w:rPr>
                <w:rFonts w:ascii="MS Gothic" w:eastAsia="MS Gothic" w:hAnsi="MS Gothic"/>
                <w:color w:val="000000" w:themeColor="text1"/>
                <w:sz w:val="20"/>
                <w:szCs w:val="22"/>
              </w:rPr>
              <w:tab/>
            </w:r>
            <w:r w:rsidR="006D1566">
              <w:rPr>
                <w:rFonts w:ascii="MS Gothic" w:eastAsia="MS Gothic" w:hAnsi="MS Gothic"/>
                <w:color w:val="000000" w:themeColor="text1"/>
                <w:sz w:val="20"/>
                <w:szCs w:val="22"/>
              </w:rPr>
              <w:tab/>
            </w:r>
            <w:r w:rsidRPr="00626E0F">
              <w:rPr>
                <w:rFonts w:eastAsia="Times New Roman"/>
                <w:b/>
                <w:color w:val="000000" w:themeColor="text1"/>
                <w:sz w:val="20"/>
                <w:szCs w:val="22"/>
              </w:rPr>
              <w:t>ENSEIGNEMENT :</w:t>
            </w:r>
            <w:r>
              <w:rPr>
                <w:rFonts w:eastAsia="Times New Roman"/>
                <w:b/>
                <w:color w:val="000000" w:themeColor="text1"/>
                <w:sz w:val="20"/>
                <w:szCs w:val="22"/>
              </w:rPr>
              <w:t xml:space="preserve"> physique-chimie</w:t>
            </w:r>
          </w:p>
          <w:p w14:paraId="1057C7DD" w14:textId="4AA409B1" w:rsidR="0089178E" w:rsidRPr="00626E0F" w:rsidRDefault="0089178E" w:rsidP="006D1566">
            <w:pPr>
              <w:spacing w:line="240" w:lineRule="auto"/>
              <w:ind w:left="0"/>
              <w:rPr>
                <w:rFonts w:eastAsia="Times New Roman"/>
                <w:b/>
                <w:color w:val="000000" w:themeColor="text1"/>
                <w:sz w:val="22"/>
                <w:szCs w:val="22"/>
              </w:rPr>
            </w:pPr>
            <w:r w:rsidRPr="00626E0F">
              <w:rPr>
                <w:rFonts w:eastAsia="Times New Roman"/>
                <w:b/>
                <w:color w:val="000000" w:themeColor="text1"/>
                <w:sz w:val="20"/>
                <w:szCs w:val="22"/>
              </w:rPr>
              <w:t>DURÉE DE L’ÉPREUVE :</w:t>
            </w:r>
            <w:r>
              <w:rPr>
                <w:rFonts w:eastAsia="Times New Roman"/>
                <w:color w:val="000000" w:themeColor="text1"/>
                <w:sz w:val="20"/>
                <w:szCs w:val="22"/>
              </w:rPr>
              <w:t xml:space="preserve"> 2 h</w:t>
            </w:r>
            <w:r w:rsidR="006D1566">
              <w:rPr>
                <w:rFonts w:eastAsia="Times New Roman"/>
                <w:color w:val="000000" w:themeColor="text1"/>
                <w:sz w:val="20"/>
                <w:szCs w:val="22"/>
              </w:rPr>
              <w:tab/>
            </w:r>
            <w:r w:rsidR="006D1566">
              <w:rPr>
                <w:rFonts w:eastAsia="Times New Roman"/>
                <w:color w:val="000000" w:themeColor="text1"/>
                <w:sz w:val="20"/>
                <w:szCs w:val="22"/>
              </w:rPr>
              <w:tab/>
            </w:r>
            <w:r w:rsidR="006D1566">
              <w:rPr>
                <w:rFonts w:eastAsia="Times New Roman"/>
                <w:color w:val="000000" w:themeColor="text1"/>
                <w:sz w:val="20"/>
                <w:szCs w:val="22"/>
              </w:rPr>
              <w:tab/>
            </w:r>
            <w:r w:rsidR="006D1566">
              <w:rPr>
                <w:rFonts w:eastAsia="Times New Roman"/>
                <w:color w:val="000000" w:themeColor="text1"/>
                <w:sz w:val="20"/>
                <w:szCs w:val="22"/>
              </w:rPr>
              <w:tab/>
            </w:r>
            <w:r>
              <w:rPr>
                <w:rFonts w:eastAsia="Times New Roman"/>
                <w:b/>
                <w:color w:val="000000" w:themeColor="text1"/>
                <w:sz w:val="20"/>
                <w:szCs w:val="22"/>
              </w:rPr>
              <w:t>CALCULATRICE AUTORIS</w:t>
            </w:r>
            <w:r>
              <w:rPr>
                <w:rFonts w:eastAsia="Times New Roman" w:cs="Arial"/>
                <w:b/>
                <w:color w:val="000000" w:themeColor="text1"/>
                <w:sz w:val="20"/>
                <w:szCs w:val="22"/>
              </w:rPr>
              <w:t xml:space="preserve">ÉE </w:t>
            </w:r>
            <w:r w:rsidRPr="00626E0F">
              <w:rPr>
                <w:rFonts w:eastAsia="Times New Roman"/>
                <w:b/>
                <w:color w:val="000000" w:themeColor="text1"/>
                <w:sz w:val="20"/>
                <w:szCs w:val="22"/>
              </w:rPr>
              <w:t>:</w:t>
            </w:r>
            <w:r>
              <w:rPr>
                <w:rFonts w:eastAsia="Times New Roman"/>
                <w:b/>
                <w:color w:val="000000" w:themeColor="text1"/>
                <w:sz w:val="20"/>
                <w:szCs w:val="22"/>
              </w:rPr>
              <w:t xml:space="preserve"> </w:t>
            </w:r>
            <w:sdt>
              <w:sdtPr>
                <w:rPr>
                  <w:rFonts w:eastAsia="Times New Roman"/>
                  <w:color w:val="000000" w:themeColor="text1"/>
                  <w:sz w:val="20"/>
                  <w:szCs w:val="22"/>
                </w:rPr>
                <w:id w:val="988758419"/>
                <w14:checkbox>
                  <w14:checked w14:val="1"/>
                  <w14:checkedState w14:val="2612" w14:font="MS Gothic"/>
                  <w14:uncheckedState w14:val="2610" w14:font="MS Gothic"/>
                </w14:checkbox>
              </w:sdtPr>
              <w:sdtEndPr/>
              <w:sdtContent>
                <w:r>
                  <w:rPr>
                    <w:rFonts w:ascii="MS Gothic" w:eastAsia="MS Gothic" w:hAnsi="MS Gothic" w:hint="eastAsia"/>
                    <w:color w:val="000000" w:themeColor="text1"/>
                    <w:sz w:val="20"/>
                    <w:szCs w:val="22"/>
                  </w:rPr>
                  <w:t>☒</w:t>
                </w:r>
              </w:sdtContent>
            </w:sdt>
            <w:r>
              <w:rPr>
                <w:rFonts w:eastAsia="Times New Roman"/>
                <w:color w:val="000000" w:themeColor="text1"/>
                <w:sz w:val="20"/>
                <w:szCs w:val="22"/>
              </w:rPr>
              <w:t xml:space="preserve">Oui  </w:t>
            </w:r>
            <w:sdt>
              <w:sdtPr>
                <w:rPr>
                  <w:rFonts w:eastAsia="Times New Roman"/>
                  <w:color w:val="000000" w:themeColor="text1"/>
                  <w:sz w:val="20"/>
                  <w:szCs w:val="22"/>
                </w:rPr>
                <w:id w:val="-63190651"/>
                <w14:checkbox>
                  <w14:checked w14:val="0"/>
                  <w14:checkedState w14:val="2612" w14:font="MS Gothic"/>
                  <w14:uncheckedState w14:val="2610" w14:font="MS Gothic"/>
                </w14:checkbox>
              </w:sdtPr>
              <w:sdtEndPr/>
              <w:sdtContent>
                <w:r>
                  <w:rPr>
                    <w:rFonts w:ascii="MS Gothic" w:eastAsia="MS Gothic" w:hAnsi="MS Gothic" w:hint="eastAsia"/>
                    <w:color w:val="000000" w:themeColor="text1"/>
                    <w:sz w:val="20"/>
                    <w:szCs w:val="22"/>
                  </w:rPr>
                  <w:t>☐</w:t>
                </w:r>
              </w:sdtContent>
            </w:sdt>
            <w:r>
              <w:rPr>
                <w:rFonts w:eastAsia="Times New Roman"/>
                <w:color w:val="000000" w:themeColor="text1"/>
                <w:sz w:val="20"/>
                <w:szCs w:val="22"/>
              </w:rPr>
              <w:t xml:space="preserve"> Non</w:t>
            </w:r>
          </w:p>
        </w:tc>
      </w:tr>
    </w:tbl>
    <w:p w14:paraId="088F0608" w14:textId="77777777" w:rsidR="00DE299A" w:rsidRDefault="00DE299A" w:rsidP="00DE299A">
      <w:pPr>
        <w:spacing w:after="0" w:line="276" w:lineRule="auto"/>
        <w:ind w:left="0"/>
        <w:jc w:val="center"/>
        <w:rPr>
          <w:rFonts w:eastAsiaTheme="minorHAnsi" w:cs="Arial"/>
          <w:b/>
          <w:lang w:eastAsia="en-US"/>
        </w:rPr>
      </w:pPr>
    </w:p>
    <w:p w14:paraId="124901C7" w14:textId="77777777" w:rsidR="000C26DE" w:rsidRPr="000C26DE" w:rsidRDefault="000C26DE" w:rsidP="000C26DE">
      <w:pPr>
        <w:spacing w:after="0" w:line="240" w:lineRule="auto"/>
        <w:ind w:left="0"/>
        <w:jc w:val="center"/>
        <w:rPr>
          <w:rFonts w:eastAsia="MS Mincho" w:cs="Arial"/>
          <w:b/>
        </w:rPr>
      </w:pPr>
      <w:r w:rsidRPr="000C26DE">
        <w:rPr>
          <w:rFonts w:eastAsia="MS Mincho" w:cs="Arial"/>
          <w:b/>
        </w:rPr>
        <w:t>Un antiseptique : l’eau oxygénée (10 points)</w:t>
      </w:r>
    </w:p>
    <w:p w14:paraId="15D5F6DA" w14:textId="77777777" w:rsidR="000C26DE" w:rsidRPr="000C26DE" w:rsidRDefault="000C26DE" w:rsidP="000C26DE">
      <w:pPr>
        <w:spacing w:after="0" w:line="240" w:lineRule="auto"/>
        <w:ind w:left="0"/>
        <w:rPr>
          <w:rFonts w:eastAsia="MS Mincho" w:cs="Arial"/>
          <w:u w:val="single"/>
        </w:rPr>
      </w:pPr>
    </w:p>
    <w:p w14:paraId="4C6BCE94" w14:textId="77777777" w:rsidR="000C26DE" w:rsidRPr="000C26DE" w:rsidRDefault="000C26DE" w:rsidP="00246B77">
      <w:pPr>
        <w:spacing w:after="0" w:line="240" w:lineRule="auto"/>
        <w:ind w:left="0"/>
        <w:jc w:val="both"/>
        <w:rPr>
          <w:rFonts w:eastAsia="MS Mincho" w:cs="Arial"/>
        </w:rPr>
      </w:pPr>
      <w:r w:rsidRPr="000C26DE">
        <w:rPr>
          <w:rFonts w:eastAsia="MS Mincho" w:cs="Arial"/>
        </w:rPr>
        <w:t>Communément appelée « eau oxygénée », la solution aqueuse antiseptique est utilisée, notamment pour détruire les virus, champignons et bactéries. Son principe actif est le peroxyde d’hydrogène, de formule brute H</w:t>
      </w:r>
      <w:r w:rsidRPr="000C26DE">
        <w:rPr>
          <w:rFonts w:eastAsia="MS Mincho" w:cs="Arial"/>
          <w:vertAlign w:val="subscript"/>
        </w:rPr>
        <w:t>2</w:t>
      </w:r>
      <w:r w:rsidRPr="000C26DE">
        <w:rPr>
          <w:rFonts w:eastAsia="MS Mincho" w:cs="Arial"/>
        </w:rPr>
        <w:t>O</w:t>
      </w:r>
      <w:r w:rsidRPr="000C26DE">
        <w:rPr>
          <w:rFonts w:eastAsia="MS Mincho" w:cs="Arial"/>
          <w:vertAlign w:val="subscript"/>
        </w:rPr>
        <w:t>2</w:t>
      </w:r>
      <w:r w:rsidRPr="000C26DE">
        <w:rPr>
          <w:rFonts w:eastAsia="MS Mincho" w:cs="Arial"/>
        </w:rPr>
        <w:t>.</w:t>
      </w:r>
    </w:p>
    <w:p w14:paraId="74C787C9" w14:textId="77777777" w:rsidR="000C26DE" w:rsidRPr="000C26DE" w:rsidRDefault="000C26DE" w:rsidP="00246B77">
      <w:pPr>
        <w:spacing w:after="0" w:line="240" w:lineRule="auto"/>
        <w:ind w:left="0"/>
        <w:jc w:val="both"/>
        <w:rPr>
          <w:rFonts w:eastAsia="MS Mincho" w:cs="Arial"/>
        </w:rPr>
      </w:pPr>
      <w:r w:rsidRPr="000C26DE">
        <w:rPr>
          <w:rFonts w:eastAsia="MS Mincho" w:cs="Arial"/>
        </w:rPr>
        <w:t>Le but de cet exercice est de vérifier les indications figurant sur l’étiquette d’une solution commerciale d’eau oxygénée.</w:t>
      </w:r>
    </w:p>
    <w:p w14:paraId="25B12B6C" w14:textId="77777777" w:rsidR="000C26DE" w:rsidRPr="000C26DE" w:rsidRDefault="000C26DE" w:rsidP="000C26DE">
      <w:pPr>
        <w:spacing w:after="0" w:line="240" w:lineRule="auto"/>
        <w:ind w:left="0"/>
        <w:jc w:val="both"/>
        <w:rPr>
          <w:rFonts w:eastAsia="MS Mincho" w:cs="Arial"/>
          <w:u w:val="single"/>
        </w:rPr>
      </w:pPr>
    </w:p>
    <w:p w14:paraId="18DB9C63" w14:textId="77777777" w:rsidR="000C26DE" w:rsidRPr="000C26DE" w:rsidRDefault="000C26DE" w:rsidP="000C26DE">
      <w:pPr>
        <w:spacing w:after="0" w:line="240" w:lineRule="auto"/>
        <w:ind w:left="0"/>
        <w:jc w:val="center"/>
        <w:rPr>
          <w:rFonts w:eastAsia="MS Mincho" w:cs="Arial"/>
        </w:rPr>
      </w:pPr>
      <w:r w:rsidRPr="000C26DE">
        <w:rPr>
          <w:rFonts w:eastAsia="MS Mincho" w:cs="Arial"/>
        </w:rPr>
        <w:t>Etiquette d’une solution commerciale d’eau oxygénée S :</w:t>
      </w:r>
    </w:p>
    <w:p w14:paraId="3C0B46C0" w14:textId="77777777" w:rsidR="000C26DE" w:rsidRPr="000C26DE" w:rsidRDefault="000C26DE" w:rsidP="000C26DE">
      <w:pPr>
        <w:spacing w:after="0" w:line="240" w:lineRule="auto"/>
        <w:ind w:left="0"/>
        <w:jc w:val="center"/>
        <w:rPr>
          <w:rFonts w:eastAsia="MS Mincho" w:cs="Arial"/>
        </w:rPr>
      </w:pPr>
      <w:r w:rsidRPr="000C26DE">
        <w:rPr>
          <w:rFonts w:eastAsia="MS Mincho" w:cs="Arial"/>
          <w:noProof/>
        </w:rPr>
        <w:drawing>
          <wp:inline distT="0" distB="0" distL="0" distR="0" wp14:anchorId="119C34F3" wp14:editId="30A7FB03">
            <wp:extent cx="4753916" cy="2257425"/>
            <wp:effectExtent l="0" t="0" r="8890" b="0"/>
            <wp:docPr id="2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4758545" cy="2259623"/>
                    </a:xfrm>
                    <a:prstGeom prst="rect">
                      <a:avLst/>
                    </a:prstGeom>
                    <a:noFill/>
                    <a:ln w="9525">
                      <a:noFill/>
                      <a:miter lim="800000"/>
                      <a:headEnd/>
                      <a:tailEnd/>
                    </a:ln>
                  </pic:spPr>
                </pic:pic>
              </a:graphicData>
            </a:graphic>
          </wp:inline>
        </w:drawing>
      </w:r>
    </w:p>
    <w:p w14:paraId="17A603DA" w14:textId="77777777" w:rsidR="000C26DE" w:rsidRPr="000C26DE" w:rsidRDefault="000C26DE" w:rsidP="000C26DE">
      <w:pPr>
        <w:spacing w:after="0" w:line="240" w:lineRule="auto"/>
        <w:ind w:left="0"/>
        <w:rPr>
          <w:rFonts w:eastAsia="MS Mincho" w:cs="Arial"/>
        </w:rPr>
      </w:pPr>
    </w:p>
    <w:p w14:paraId="56EE7C57" w14:textId="77777777" w:rsidR="000C26DE" w:rsidRPr="000C26DE" w:rsidRDefault="000C26DE" w:rsidP="000C26DE">
      <w:pPr>
        <w:spacing w:after="0" w:line="240" w:lineRule="auto"/>
        <w:ind w:left="0"/>
        <w:rPr>
          <w:rFonts w:eastAsia="MS Mincho" w:cs="Arial"/>
          <w:b/>
        </w:rPr>
      </w:pPr>
      <w:r w:rsidRPr="000C26DE">
        <w:rPr>
          <w:rFonts w:eastAsia="MS Mincho" w:cs="Arial"/>
          <w:b/>
        </w:rPr>
        <w:t>Données</w:t>
      </w:r>
    </w:p>
    <w:p w14:paraId="1624EDA6" w14:textId="77777777" w:rsidR="000C26DE" w:rsidRPr="000C26DE" w:rsidRDefault="000C26DE" w:rsidP="000C26DE">
      <w:pPr>
        <w:numPr>
          <w:ilvl w:val="0"/>
          <w:numId w:val="15"/>
        </w:numPr>
        <w:spacing w:after="0" w:line="240" w:lineRule="auto"/>
        <w:ind w:left="284" w:hanging="284"/>
        <w:contextualSpacing/>
        <w:rPr>
          <w:rFonts w:eastAsia="MS Mincho" w:cs="Arial"/>
        </w:rPr>
      </w:pPr>
      <w:r w:rsidRPr="000C26DE">
        <w:rPr>
          <w:rFonts w:eastAsia="MS Mincho" w:cs="Arial"/>
        </w:rPr>
        <w:t xml:space="preserve">Masse Molaire Moléculaire du peroxyde d’hydrogène : </w:t>
      </w:r>
      <w:r w:rsidRPr="000C26DE">
        <w:rPr>
          <w:rFonts w:eastAsia="MS Mincho" w:cs="Arial"/>
          <w:i/>
        </w:rPr>
        <w:t>M</w:t>
      </w:r>
      <w:r w:rsidRPr="000C26DE">
        <w:rPr>
          <w:rFonts w:eastAsia="MS Mincho" w:cs="Arial"/>
        </w:rPr>
        <w:t>(H</w:t>
      </w:r>
      <w:r w:rsidRPr="000C26DE">
        <w:rPr>
          <w:rFonts w:eastAsia="MS Mincho" w:cs="Arial"/>
          <w:vertAlign w:val="subscript"/>
        </w:rPr>
        <w:t>2</w:t>
      </w:r>
      <w:r w:rsidRPr="000C26DE">
        <w:rPr>
          <w:rFonts w:eastAsia="MS Mincho" w:cs="Arial"/>
        </w:rPr>
        <w:t>O</w:t>
      </w:r>
      <w:r w:rsidRPr="000C26DE">
        <w:rPr>
          <w:rFonts w:eastAsia="MS Mincho" w:cs="Arial"/>
          <w:vertAlign w:val="subscript"/>
        </w:rPr>
        <w:t>2</w:t>
      </w:r>
      <w:r w:rsidRPr="000C26DE">
        <w:rPr>
          <w:rFonts w:eastAsia="MS Mincho" w:cs="Arial"/>
        </w:rPr>
        <w:t>) = 34 g.mol</w:t>
      </w:r>
      <w:r w:rsidRPr="000C26DE">
        <w:rPr>
          <w:rFonts w:eastAsia="MS Mincho" w:cs="Arial"/>
          <w:vertAlign w:val="superscript"/>
        </w:rPr>
        <w:t>-1</w:t>
      </w:r>
    </w:p>
    <w:p w14:paraId="21BDBD31" w14:textId="77777777" w:rsidR="000C26DE" w:rsidRPr="000C26DE" w:rsidRDefault="000C26DE" w:rsidP="000C26DE">
      <w:pPr>
        <w:spacing w:after="0" w:line="240" w:lineRule="auto"/>
        <w:ind w:left="284" w:hanging="284"/>
        <w:contextualSpacing/>
        <w:rPr>
          <w:rFonts w:eastAsia="MS Mincho" w:cs="Arial"/>
        </w:rPr>
      </w:pPr>
    </w:p>
    <w:p w14:paraId="070FCA02" w14:textId="77777777" w:rsidR="000C26DE" w:rsidRPr="000C26DE" w:rsidRDefault="000C26DE" w:rsidP="00246B77">
      <w:pPr>
        <w:numPr>
          <w:ilvl w:val="0"/>
          <w:numId w:val="15"/>
        </w:numPr>
        <w:spacing w:after="0" w:line="240" w:lineRule="auto"/>
        <w:ind w:left="284" w:hanging="284"/>
        <w:contextualSpacing/>
        <w:jc w:val="both"/>
        <w:rPr>
          <w:rFonts w:eastAsia="MS Mincho" w:cs="Arial"/>
        </w:rPr>
      </w:pPr>
      <w:r w:rsidRPr="000C26DE">
        <w:rPr>
          <w:rFonts w:eastAsia="MS Mincho" w:cs="Arial"/>
        </w:rPr>
        <w:t>Le peroxyde d’hydrogène H</w:t>
      </w:r>
      <w:r w:rsidRPr="000C26DE">
        <w:rPr>
          <w:rFonts w:eastAsia="MS Mincho" w:cs="Arial"/>
          <w:vertAlign w:val="subscript"/>
        </w:rPr>
        <w:t>2</w:t>
      </w:r>
      <w:r w:rsidRPr="000C26DE">
        <w:rPr>
          <w:rFonts w:eastAsia="MS Mincho" w:cs="Arial"/>
        </w:rPr>
        <w:t>O</w:t>
      </w:r>
      <w:r w:rsidRPr="000C26DE">
        <w:rPr>
          <w:rFonts w:eastAsia="MS Mincho" w:cs="Arial"/>
          <w:vertAlign w:val="subscript"/>
        </w:rPr>
        <w:t xml:space="preserve">2 </w:t>
      </w:r>
      <w:r w:rsidRPr="000C26DE">
        <w:rPr>
          <w:rFonts w:eastAsia="MS Mincho" w:cs="Arial"/>
        </w:rPr>
        <w:t>contenu dans l’eau oxygénée peut être oxydé par les ions permanganates MnO</w:t>
      </w:r>
      <w:r w:rsidRPr="000C26DE">
        <w:rPr>
          <w:rFonts w:eastAsia="MS Mincho" w:cs="Arial"/>
          <w:vertAlign w:val="subscript"/>
        </w:rPr>
        <w:t>4</w:t>
      </w:r>
      <w:r w:rsidRPr="000C26DE">
        <w:rPr>
          <w:rFonts w:eastAsia="MS Mincho" w:cs="Arial"/>
          <w:vertAlign w:val="superscript"/>
        </w:rPr>
        <w:t xml:space="preserve"> - </w:t>
      </w:r>
      <w:r w:rsidRPr="000C26DE">
        <w:rPr>
          <w:rFonts w:eastAsia="MS Mincho" w:cs="Arial"/>
        </w:rPr>
        <w:t>suivant la réaction d’oxydoréduction dont l’équation est la suivante :</w:t>
      </w:r>
    </w:p>
    <w:p w14:paraId="48FE77E9" w14:textId="2F7A6293" w:rsidR="000C26DE" w:rsidRPr="000C26DE" w:rsidRDefault="000C26DE" w:rsidP="003A014A">
      <w:pPr>
        <w:spacing w:after="0" w:line="240" w:lineRule="auto"/>
        <w:ind w:left="284" w:hanging="284"/>
        <w:jc w:val="center"/>
        <w:rPr>
          <w:rFonts w:eastAsia="MS Mincho" w:cs="Arial"/>
        </w:rPr>
      </w:pPr>
      <w:r w:rsidRPr="000C26DE">
        <w:rPr>
          <w:rFonts w:eastAsia="MS Mincho" w:cs="Arial"/>
        </w:rPr>
        <w:t>2 MnO</w:t>
      </w:r>
      <w:r w:rsidRPr="000C26DE">
        <w:rPr>
          <w:rFonts w:eastAsia="MS Mincho" w:cs="Arial"/>
          <w:vertAlign w:val="subscript"/>
        </w:rPr>
        <w:t>4</w:t>
      </w:r>
      <w:r w:rsidRPr="000C26DE">
        <w:rPr>
          <w:rFonts w:eastAsia="MS Mincho" w:cs="Arial"/>
          <w:vertAlign w:val="superscript"/>
        </w:rPr>
        <w:t xml:space="preserve"> –</w:t>
      </w:r>
      <w:r w:rsidRPr="000C26DE">
        <w:rPr>
          <w:rFonts w:eastAsia="MS Mincho" w:cs="Arial"/>
          <w:vertAlign w:val="subscript"/>
        </w:rPr>
        <w:t>(</w:t>
      </w:r>
      <w:proofErr w:type="spellStart"/>
      <w:r w:rsidRPr="000C26DE">
        <w:rPr>
          <w:rFonts w:eastAsia="MS Mincho" w:cs="Arial"/>
          <w:vertAlign w:val="subscript"/>
        </w:rPr>
        <w:t>aq</w:t>
      </w:r>
      <w:proofErr w:type="spellEnd"/>
      <w:r w:rsidRPr="000C26DE">
        <w:rPr>
          <w:rFonts w:eastAsia="MS Mincho" w:cs="Arial"/>
          <w:vertAlign w:val="subscript"/>
        </w:rPr>
        <w:t>)</w:t>
      </w:r>
      <w:r w:rsidRPr="000C26DE">
        <w:rPr>
          <w:rFonts w:eastAsia="MS Mincho" w:cs="Arial"/>
        </w:rPr>
        <w:t xml:space="preserve">  +  6 H</w:t>
      </w:r>
      <w:r w:rsidRPr="000C26DE">
        <w:rPr>
          <w:rFonts w:eastAsia="MS Mincho" w:cs="Arial"/>
          <w:vertAlign w:val="superscript"/>
        </w:rPr>
        <w:t>+</w:t>
      </w:r>
      <w:r w:rsidRPr="000C26DE">
        <w:rPr>
          <w:rFonts w:eastAsia="MS Mincho" w:cs="Arial"/>
          <w:vertAlign w:val="subscript"/>
        </w:rPr>
        <w:t>(</w:t>
      </w:r>
      <w:proofErr w:type="spellStart"/>
      <w:r w:rsidRPr="000C26DE">
        <w:rPr>
          <w:rFonts w:eastAsia="MS Mincho" w:cs="Arial"/>
          <w:vertAlign w:val="subscript"/>
        </w:rPr>
        <w:t>aq</w:t>
      </w:r>
      <w:proofErr w:type="spellEnd"/>
      <w:r w:rsidRPr="000C26DE">
        <w:rPr>
          <w:rFonts w:eastAsia="MS Mincho" w:cs="Arial"/>
          <w:vertAlign w:val="subscript"/>
        </w:rPr>
        <w:t>)</w:t>
      </w:r>
      <w:r w:rsidRPr="000C26DE">
        <w:rPr>
          <w:rFonts w:eastAsia="MS Mincho" w:cs="Arial"/>
        </w:rPr>
        <w:t xml:space="preserve">  + 5 H</w:t>
      </w:r>
      <w:r w:rsidRPr="000C26DE">
        <w:rPr>
          <w:rFonts w:eastAsia="MS Mincho" w:cs="Arial"/>
          <w:vertAlign w:val="subscript"/>
        </w:rPr>
        <w:t>2</w:t>
      </w:r>
      <w:r w:rsidRPr="000C26DE">
        <w:rPr>
          <w:rFonts w:eastAsia="MS Mincho" w:cs="Arial"/>
        </w:rPr>
        <w:t>O</w:t>
      </w:r>
      <w:r w:rsidRPr="000C26DE">
        <w:rPr>
          <w:rFonts w:eastAsia="MS Mincho" w:cs="Arial"/>
          <w:vertAlign w:val="subscript"/>
        </w:rPr>
        <w:t>2(</w:t>
      </w:r>
      <w:proofErr w:type="spellStart"/>
      <w:r w:rsidRPr="000C26DE">
        <w:rPr>
          <w:rFonts w:eastAsia="MS Mincho" w:cs="Arial"/>
          <w:vertAlign w:val="subscript"/>
        </w:rPr>
        <w:t>aq</w:t>
      </w:r>
      <w:proofErr w:type="spellEnd"/>
      <w:r w:rsidRPr="000C26DE">
        <w:rPr>
          <w:rFonts w:eastAsia="MS Mincho" w:cs="Arial"/>
          <w:vertAlign w:val="subscript"/>
        </w:rPr>
        <w:t>)</w:t>
      </w:r>
      <w:r w:rsidRPr="000C26DE">
        <w:rPr>
          <w:rFonts w:eastAsia="MS Mincho" w:cs="Arial"/>
        </w:rPr>
        <w:t xml:space="preserve">  -&gt;   2 Mn</w:t>
      </w:r>
      <w:r w:rsidRPr="000C26DE">
        <w:rPr>
          <w:rFonts w:eastAsia="MS Mincho" w:cs="Arial"/>
          <w:vertAlign w:val="superscript"/>
        </w:rPr>
        <w:t>2+</w:t>
      </w:r>
      <w:r w:rsidRPr="000C26DE">
        <w:rPr>
          <w:rFonts w:eastAsia="MS Mincho" w:cs="Arial"/>
          <w:vertAlign w:val="subscript"/>
        </w:rPr>
        <w:t>(</w:t>
      </w:r>
      <w:proofErr w:type="spellStart"/>
      <w:r w:rsidRPr="000C26DE">
        <w:rPr>
          <w:rFonts w:eastAsia="MS Mincho" w:cs="Arial"/>
          <w:vertAlign w:val="subscript"/>
        </w:rPr>
        <w:t>aq</w:t>
      </w:r>
      <w:proofErr w:type="spellEnd"/>
      <w:r w:rsidRPr="000C26DE">
        <w:rPr>
          <w:rFonts w:eastAsia="MS Mincho" w:cs="Arial"/>
          <w:vertAlign w:val="subscript"/>
        </w:rPr>
        <w:t>)</w:t>
      </w:r>
      <w:r w:rsidRPr="000C26DE">
        <w:rPr>
          <w:rFonts w:eastAsia="MS Mincho" w:cs="Arial"/>
        </w:rPr>
        <w:t xml:space="preserve">  +  8 H</w:t>
      </w:r>
      <w:r w:rsidRPr="000C26DE">
        <w:rPr>
          <w:rFonts w:eastAsia="MS Mincho" w:cs="Arial"/>
          <w:vertAlign w:val="subscript"/>
        </w:rPr>
        <w:t>2</w:t>
      </w:r>
      <w:r w:rsidRPr="000C26DE">
        <w:rPr>
          <w:rFonts w:eastAsia="MS Mincho" w:cs="Arial"/>
        </w:rPr>
        <w:t>O</w:t>
      </w:r>
      <w:r w:rsidRPr="000C26DE">
        <w:rPr>
          <w:rFonts w:eastAsia="MS Mincho" w:cs="Arial"/>
          <w:vertAlign w:val="subscript"/>
        </w:rPr>
        <w:t>(l)</w:t>
      </w:r>
      <w:r w:rsidRPr="000C26DE">
        <w:rPr>
          <w:rFonts w:eastAsia="MS Mincho" w:cs="Arial"/>
        </w:rPr>
        <w:t xml:space="preserve">  + 5 O</w:t>
      </w:r>
      <w:r w:rsidRPr="000C26DE">
        <w:rPr>
          <w:rFonts w:eastAsia="MS Mincho" w:cs="Arial"/>
          <w:vertAlign w:val="subscript"/>
        </w:rPr>
        <w:t>2(g)</w:t>
      </w:r>
    </w:p>
    <w:p w14:paraId="0C4306AD" w14:textId="48FAE205" w:rsidR="000C26DE" w:rsidRPr="003A014A" w:rsidRDefault="000C26DE" w:rsidP="003A014A">
      <w:pPr>
        <w:numPr>
          <w:ilvl w:val="0"/>
          <w:numId w:val="14"/>
        </w:numPr>
        <w:spacing w:after="0" w:line="240" w:lineRule="auto"/>
        <w:ind w:left="284" w:hanging="284"/>
        <w:contextualSpacing/>
        <w:rPr>
          <w:rFonts w:eastAsia="MS Mincho" w:cs="Arial"/>
          <w:u w:val="single"/>
        </w:rPr>
      </w:pPr>
      <w:r w:rsidRPr="000C26DE">
        <w:rPr>
          <w:rFonts w:eastAsia="MS Mincho" w:cs="Arial"/>
        </w:rPr>
        <w:t>Couples d’oxydoréduction mis en jeu : MnO</w:t>
      </w:r>
      <w:r w:rsidRPr="000C26DE">
        <w:rPr>
          <w:rFonts w:eastAsia="MS Mincho" w:cs="Arial"/>
          <w:vertAlign w:val="subscript"/>
        </w:rPr>
        <w:t>4</w:t>
      </w:r>
      <w:r w:rsidRPr="000C26DE">
        <w:rPr>
          <w:rFonts w:eastAsia="MS Mincho" w:cs="Arial"/>
          <w:vertAlign w:val="superscript"/>
        </w:rPr>
        <w:t xml:space="preserve"> –</w:t>
      </w:r>
      <w:r w:rsidRPr="000C26DE">
        <w:rPr>
          <w:rFonts w:eastAsia="MS Mincho" w:cs="Arial"/>
        </w:rPr>
        <w:t xml:space="preserve"> </w:t>
      </w:r>
      <w:r w:rsidRPr="000C26DE">
        <w:rPr>
          <w:rFonts w:eastAsia="MS Mincho" w:cs="Arial"/>
          <w:vertAlign w:val="subscript"/>
        </w:rPr>
        <w:t>(</w:t>
      </w:r>
      <w:proofErr w:type="spellStart"/>
      <w:proofErr w:type="gramStart"/>
      <w:r w:rsidRPr="000C26DE">
        <w:rPr>
          <w:rFonts w:eastAsia="MS Mincho" w:cs="Arial"/>
          <w:vertAlign w:val="subscript"/>
        </w:rPr>
        <w:t>aq</w:t>
      </w:r>
      <w:proofErr w:type="spellEnd"/>
      <w:r w:rsidRPr="000C26DE">
        <w:rPr>
          <w:rFonts w:eastAsia="MS Mincho" w:cs="Arial"/>
          <w:vertAlign w:val="subscript"/>
        </w:rPr>
        <w:t>)</w:t>
      </w:r>
      <w:r w:rsidRPr="000C26DE">
        <w:rPr>
          <w:rFonts w:eastAsia="MS Mincho" w:cs="Arial"/>
        </w:rPr>
        <w:t xml:space="preserve">   </w:t>
      </w:r>
      <w:proofErr w:type="gramEnd"/>
      <w:r w:rsidRPr="000C26DE">
        <w:rPr>
          <w:rFonts w:eastAsia="MS Mincho" w:cs="Arial"/>
        </w:rPr>
        <w:t>/   Mn</w:t>
      </w:r>
      <w:r w:rsidRPr="000C26DE">
        <w:rPr>
          <w:rFonts w:eastAsia="MS Mincho" w:cs="Arial"/>
          <w:vertAlign w:val="superscript"/>
        </w:rPr>
        <w:t>2+</w:t>
      </w:r>
      <w:r w:rsidRPr="000C26DE">
        <w:rPr>
          <w:rFonts w:eastAsia="MS Mincho" w:cs="Arial"/>
          <w:vertAlign w:val="subscript"/>
        </w:rPr>
        <w:t>(</w:t>
      </w:r>
      <w:proofErr w:type="spellStart"/>
      <w:r w:rsidRPr="000C26DE">
        <w:rPr>
          <w:rFonts w:eastAsia="MS Mincho" w:cs="Arial"/>
          <w:vertAlign w:val="subscript"/>
        </w:rPr>
        <w:t>aq</w:t>
      </w:r>
      <w:proofErr w:type="spellEnd"/>
      <w:r w:rsidRPr="000C26DE">
        <w:rPr>
          <w:rFonts w:eastAsia="MS Mincho" w:cs="Arial"/>
          <w:vertAlign w:val="subscript"/>
        </w:rPr>
        <w:t>)</w:t>
      </w:r>
      <w:r w:rsidRPr="000C26DE">
        <w:rPr>
          <w:rFonts w:eastAsia="MS Mincho" w:cs="Arial"/>
        </w:rPr>
        <w:t xml:space="preserve">     O</w:t>
      </w:r>
      <w:r w:rsidRPr="000C26DE">
        <w:rPr>
          <w:rFonts w:eastAsia="MS Mincho" w:cs="Arial"/>
          <w:vertAlign w:val="subscript"/>
        </w:rPr>
        <w:t xml:space="preserve">2 (g) </w:t>
      </w:r>
      <w:r w:rsidRPr="000C26DE">
        <w:rPr>
          <w:rFonts w:eastAsia="MS Mincho" w:cs="Arial"/>
        </w:rPr>
        <w:t>/  H</w:t>
      </w:r>
      <w:r w:rsidRPr="000C26DE">
        <w:rPr>
          <w:rFonts w:eastAsia="MS Mincho" w:cs="Arial"/>
          <w:vertAlign w:val="subscript"/>
        </w:rPr>
        <w:t>2</w:t>
      </w:r>
      <w:r w:rsidRPr="000C26DE">
        <w:rPr>
          <w:rFonts w:eastAsia="MS Mincho" w:cs="Arial"/>
        </w:rPr>
        <w:t>O</w:t>
      </w:r>
      <w:r w:rsidRPr="000C26DE">
        <w:rPr>
          <w:rFonts w:eastAsia="MS Mincho" w:cs="Arial"/>
          <w:vertAlign w:val="subscript"/>
        </w:rPr>
        <w:t>2 (l)</w:t>
      </w:r>
      <w:r w:rsidRPr="000C26DE">
        <w:rPr>
          <w:rFonts w:eastAsia="MS Mincho" w:cs="Arial"/>
        </w:rPr>
        <w:t xml:space="preserve">  </w:t>
      </w:r>
    </w:p>
    <w:p w14:paraId="0263C99B" w14:textId="77777777" w:rsidR="000C26DE" w:rsidRPr="000C26DE" w:rsidRDefault="000C26DE" w:rsidP="00246B77">
      <w:pPr>
        <w:numPr>
          <w:ilvl w:val="0"/>
          <w:numId w:val="14"/>
        </w:numPr>
        <w:spacing w:after="0" w:line="240" w:lineRule="auto"/>
        <w:ind w:left="284" w:hanging="284"/>
        <w:contextualSpacing/>
        <w:jc w:val="both"/>
        <w:rPr>
          <w:rFonts w:eastAsia="MS Mincho" w:cs="Arial"/>
        </w:rPr>
      </w:pPr>
      <w:r w:rsidRPr="000C26DE">
        <w:rPr>
          <w:rFonts w:eastAsia="MS Mincho" w:cs="Arial"/>
        </w:rPr>
        <w:t xml:space="preserve">Le titre </w:t>
      </w:r>
      <w:r w:rsidRPr="000C26DE">
        <w:rPr>
          <w:rFonts w:eastAsia="MS Mincho" w:cs="Arial"/>
          <w:i/>
        </w:rPr>
        <w:t>T</w:t>
      </w:r>
      <w:r w:rsidRPr="000C26DE">
        <w:rPr>
          <w:rFonts w:eastAsia="MS Mincho" w:cs="Arial"/>
        </w:rPr>
        <w:t xml:space="preserve"> d’une eau oxygénée exprime le volume de dioxygène que peut libérer un litre d’eau oxygénée en volume: En effet, l’eau oxygénée en réagissant avec elle-même, libère du dioxygène gazeux selon l’équation :</w:t>
      </w:r>
    </w:p>
    <w:p w14:paraId="4939FFF9" w14:textId="77777777" w:rsidR="000C26DE" w:rsidRPr="000C26DE" w:rsidRDefault="000C26DE" w:rsidP="000C26DE">
      <w:pPr>
        <w:spacing w:after="0" w:line="240" w:lineRule="auto"/>
        <w:ind w:left="0" w:firstLine="284"/>
        <w:jc w:val="center"/>
        <w:rPr>
          <w:rFonts w:eastAsia="MS Mincho" w:cs="Arial"/>
        </w:rPr>
      </w:pPr>
      <w:r w:rsidRPr="000C26DE">
        <w:rPr>
          <w:rFonts w:eastAsia="MS Mincho" w:cs="Arial"/>
        </w:rPr>
        <w:t>2 H</w:t>
      </w:r>
      <w:r w:rsidRPr="000C26DE">
        <w:rPr>
          <w:rFonts w:eastAsia="MS Mincho" w:cs="Arial"/>
          <w:vertAlign w:val="subscript"/>
        </w:rPr>
        <w:t>2</w:t>
      </w:r>
      <w:r w:rsidRPr="000C26DE">
        <w:rPr>
          <w:rFonts w:eastAsia="MS Mincho" w:cs="Arial"/>
        </w:rPr>
        <w:t>O</w:t>
      </w:r>
      <w:r w:rsidRPr="000C26DE">
        <w:rPr>
          <w:rFonts w:eastAsia="MS Mincho" w:cs="Arial"/>
          <w:vertAlign w:val="subscript"/>
        </w:rPr>
        <w:t>2(</w:t>
      </w:r>
      <w:proofErr w:type="spellStart"/>
      <w:proofErr w:type="gramStart"/>
      <w:r w:rsidRPr="000C26DE">
        <w:rPr>
          <w:rFonts w:eastAsia="MS Mincho" w:cs="Arial"/>
          <w:vertAlign w:val="subscript"/>
        </w:rPr>
        <w:t>aq</w:t>
      </w:r>
      <w:proofErr w:type="spellEnd"/>
      <w:r w:rsidRPr="000C26DE">
        <w:rPr>
          <w:rFonts w:eastAsia="MS Mincho" w:cs="Arial"/>
          <w:vertAlign w:val="subscript"/>
        </w:rPr>
        <w:t>)</w:t>
      </w:r>
      <w:r w:rsidRPr="000C26DE">
        <w:rPr>
          <w:rFonts w:eastAsia="MS Mincho" w:cs="Arial"/>
        </w:rPr>
        <w:t xml:space="preserve">  -</w:t>
      </w:r>
      <w:proofErr w:type="gramEnd"/>
      <w:r w:rsidRPr="000C26DE">
        <w:rPr>
          <w:rFonts w:eastAsia="MS Mincho" w:cs="Arial"/>
        </w:rPr>
        <w:t>&gt;   2 H</w:t>
      </w:r>
      <w:r w:rsidRPr="000C26DE">
        <w:rPr>
          <w:rFonts w:eastAsia="MS Mincho" w:cs="Arial"/>
          <w:vertAlign w:val="subscript"/>
        </w:rPr>
        <w:t>2</w:t>
      </w:r>
      <w:r w:rsidRPr="000C26DE">
        <w:rPr>
          <w:rFonts w:eastAsia="MS Mincho" w:cs="Arial"/>
        </w:rPr>
        <w:t>O</w:t>
      </w:r>
      <w:r w:rsidRPr="000C26DE">
        <w:rPr>
          <w:rFonts w:eastAsia="MS Mincho" w:cs="Arial"/>
          <w:vertAlign w:val="subscript"/>
        </w:rPr>
        <w:t>(l)</w:t>
      </w:r>
      <w:r w:rsidRPr="000C26DE">
        <w:rPr>
          <w:rFonts w:eastAsia="MS Mincho" w:cs="Arial"/>
        </w:rPr>
        <w:t xml:space="preserve">  +  O</w:t>
      </w:r>
      <w:r w:rsidRPr="000C26DE">
        <w:rPr>
          <w:rFonts w:eastAsia="MS Mincho" w:cs="Arial"/>
          <w:vertAlign w:val="subscript"/>
        </w:rPr>
        <w:t>2(g)</w:t>
      </w:r>
    </w:p>
    <w:p w14:paraId="511DC3EF" w14:textId="77777777" w:rsidR="000C26DE" w:rsidRPr="000C26DE" w:rsidRDefault="000C26DE" w:rsidP="00246B77">
      <w:pPr>
        <w:spacing w:after="0" w:line="240" w:lineRule="auto"/>
        <w:ind w:left="284"/>
        <w:jc w:val="both"/>
        <w:rPr>
          <w:rFonts w:eastAsia="MS Mincho" w:cs="Arial"/>
        </w:rPr>
      </w:pPr>
      <w:r w:rsidRPr="000C26DE">
        <w:rPr>
          <w:rFonts w:eastAsia="MS Mincho" w:cs="Arial"/>
        </w:rPr>
        <w:t>Lors de cette réaction, H</w:t>
      </w:r>
      <w:r w:rsidRPr="000C26DE">
        <w:rPr>
          <w:rFonts w:eastAsia="MS Mincho" w:cs="Arial"/>
          <w:vertAlign w:val="subscript"/>
        </w:rPr>
        <w:t>2</w:t>
      </w:r>
      <w:r w:rsidRPr="000C26DE">
        <w:rPr>
          <w:rFonts w:eastAsia="MS Mincho" w:cs="Arial"/>
        </w:rPr>
        <w:t>O</w:t>
      </w:r>
      <w:r w:rsidRPr="000C26DE">
        <w:rPr>
          <w:rFonts w:eastAsia="MS Mincho" w:cs="Arial"/>
          <w:vertAlign w:val="subscript"/>
        </w:rPr>
        <w:t xml:space="preserve">2 </w:t>
      </w:r>
      <w:r w:rsidRPr="000C26DE">
        <w:rPr>
          <w:rFonts w:eastAsia="MS Mincho" w:cs="Arial"/>
        </w:rPr>
        <w:t>joue à la fois le rôle d’oxydant et de réducteur.</w:t>
      </w:r>
    </w:p>
    <w:p w14:paraId="7DF27572" w14:textId="77777777" w:rsidR="000C26DE" w:rsidRPr="000C26DE" w:rsidRDefault="000C26DE" w:rsidP="000C26DE">
      <w:pPr>
        <w:spacing w:after="0" w:line="240" w:lineRule="auto"/>
        <w:ind w:left="284"/>
        <w:rPr>
          <w:rFonts w:eastAsia="MS Mincho" w:cs="Arial"/>
        </w:rPr>
      </w:pPr>
      <w:r w:rsidRPr="000C26DE">
        <w:rPr>
          <w:rFonts w:eastAsia="MS Mincho" w:cs="Arial"/>
        </w:rPr>
        <w:t xml:space="preserve">Le titre </w:t>
      </w:r>
      <w:r w:rsidRPr="000C26DE">
        <w:rPr>
          <w:rFonts w:eastAsia="MS Mincho" w:cs="Arial"/>
          <w:i/>
        </w:rPr>
        <w:t xml:space="preserve">T </w:t>
      </w:r>
      <w:r w:rsidRPr="000C26DE">
        <w:rPr>
          <w:rFonts w:eastAsia="MS Mincho" w:cs="Arial"/>
        </w:rPr>
        <w:t xml:space="preserve">est </w:t>
      </w:r>
      <w:proofErr w:type="gramStart"/>
      <w:r w:rsidRPr="000C26DE">
        <w:rPr>
          <w:rFonts w:eastAsia="MS Mincho" w:cs="Arial"/>
        </w:rPr>
        <w:t>donnée</w:t>
      </w:r>
      <w:proofErr w:type="gramEnd"/>
      <w:r w:rsidRPr="000C26DE">
        <w:rPr>
          <w:rFonts w:eastAsia="MS Mincho" w:cs="Arial"/>
        </w:rPr>
        <w:t xml:space="preserve"> par la relation : </w:t>
      </w:r>
      <m:oMath>
        <m:r>
          <w:rPr>
            <w:rFonts w:ascii="Cambria Math" w:eastAsia="MS Mincho" w:hAnsi="Cambria Math" w:cs="Arial"/>
          </w:rPr>
          <m:t>T=</m:t>
        </m:r>
        <m:f>
          <m:fPr>
            <m:ctrlPr>
              <w:rPr>
                <w:rFonts w:ascii="Cambria Math" w:eastAsia="MS Mincho" w:hAnsi="Cambria Math" w:cs="Arial"/>
                <w:i/>
              </w:rPr>
            </m:ctrlPr>
          </m:fPr>
          <m:num>
            <m:r>
              <w:rPr>
                <w:rFonts w:ascii="Cambria Math" w:eastAsia="MS Mincho" w:hAnsi="Cambria Math" w:cs="Arial"/>
              </w:rPr>
              <m:t>C.Vm</m:t>
            </m:r>
          </m:num>
          <m:den>
            <m:r>
              <w:rPr>
                <w:rFonts w:ascii="Cambria Math" w:eastAsia="MS Mincho" w:hAnsi="Cambria Math" w:cs="Arial"/>
              </w:rPr>
              <m:t>2</m:t>
            </m:r>
          </m:den>
        </m:f>
      </m:oMath>
      <w:r w:rsidRPr="000C26DE">
        <w:rPr>
          <w:rFonts w:eastAsia="MS Mincho" w:cs="Arial"/>
        </w:rPr>
        <w:t xml:space="preserve">    </w:t>
      </w:r>
    </w:p>
    <w:p w14:paraId="59909D82" w14:textId="77777777" w:rsidR="000C26DE" w:rsidRPr="000C26DE" w:rsidRDefault="000C26DE" w:rsidP="00246B77">
      <w:pPr>
        <w:spacing w:after="0" w:line="240" w:lineRule="auto"/>
        <w:ind w:left="284"/>
        <w:jc w:val="both"/>
        <w:rPr>
          <w:rFonts w:eastAsia="MS Mincho" w:cs="Arial"/>
        </w:rPr>
      </w:pPr>
      <w:proofErr w:type="gramStart"/>
      <w:r w:rsidRPr="000C26DE">
        <w:rPr>
          <w:rFonts w:eastAsia="MS Mincho" w:cs="Arial"/>
        </w:rPr>
        <w:t>avec</w:t>
      </w:r>
      <w:proofErr w:type="gramEnd"/>
      <w:r w:rsidRPr="000C26DE">
        <w:rPr>
          <w:rFonts w:eastAsia="MS Mincho" w:cs="Arial"/>
        </w:rPr>
        <w:t xml:space="preserve"> </w:t>
      </w:r>
      <w:r w:rsidRPr="000C26DE">
        <w:rPr>
          <w:rFonts w:eastAsia="MS Mincho" w:cs="Arial"/>
          <w:i/>
        </w:rPr>
        <w:t>T</w:t>
      </w:r>
      <w:r w:rsidRPr="000C26DE">
        <w:rPr>
          <w:rFonts w:eastAsia="MS Mincho" w:cs="Arial"/>
        </w:rPr>
        <w:t xml:space="preserve"> : titre, </w:t>
      </w:r>
      <w:r w:rsidRPr="000C26DE">
        <w:rPr>
          <w:rFonts w:eastAsia="MS Mincho" w:cs="Arial"/>
          <w:i/>
        </w:rPr>
        <w:t>C</w:t>
      </w:r>
      <w:r w:rsidRPr="000C26DE">
        <w:rPr>
          <w:rFonts w:eastAsia="MS Mincho" w:cs="Arial"/>
        </w:rPr>
        <w:t> : concentration en quantité de matière en mol.L</w:t>
      </w:r>
      <w:r w:rsidRPr="000C26DE">
        <w:rPr>
          <w:rFonts w:eastAsia="MS Mincho" w:cs="Arial"/>
          <w:vertAlign w:val="superscript"/>
        </w:rPr>
        <w:t>-1</w:t>
      </w:r>
      <w:r w:rsidRPr="000C26DE">
        <w:rPr>
          <w:rFonts w:eastAsia="MS Mincho" w:cs="Arial"/>
        </w:rPr>
        <w:t xml:space="preserve">  et </w:t>
      </w:r>
      <w:proofErr w:type="spellStart"/>
      <w:r w:rsidRPr="000C26DE">
        <w:rPr>
          <w:rFonts w:eastAsia="MS Mincho" w:cs="Arial"/>
        </w:rPr>
        <w:t>Vm</w:t>
      </w:r>
      <w:proofErr w:type="spellEnd"/>
      <w:r w:rsidRPr="000C26DE">
        <w:rPr>
          <w:rFonts w:eastAsia="MS Mincho" w:cs="Arial"/>
        </w:rPr>
        <w:t> = 22,4 L.mol</w:t>
      </w:r>
      <w:r w:rsidRPr="000C26DE">
        <w:rPr>
          <w:rFonts w:eastAsia="MS Mincho" w:cs="Arial"/>
          <w:vertAlign w:val="superscript"/>
        </w:rPr>
        <w:t>-1</w:t>
      </w:r>
      <w:r w:rsidRPr="000C26DE">
        <w:rPr>
          <w:rFonts w:eastAsia="MS Mincho" w:cs="Arial"/>
        </w:rPr>
        <w:t> : volume molaire d’un gaz (dans les conditions normales de température et de pression)</w:t>
      </w:r>
    </w:p>
    <w:p w14:paraId="1BF77140" w14:textId="3C62E119" w:rsidR="00246B77" w:rsidRDefault="00246B77">
      <w:pPr>
        <w:spacing w:after="0" w:line="240" w:lineRule="auto"/>
        <w:ind w:left="0"/>
        <w:rPr>
          <w:rFonts w:eastAsia="MS Mincho" w:cs="Arial"/>
        </w:rPr>
      </w:pPr>
      <w:r>
        <w:rPr>
          <w:rFonts w:eastAsia="MS Mincho" w:cs="Arial"/>
        </w:rPr>
        <w:br w:type="page"/>
      </w:r>
    </w:p>
    <w:p w14:paraId="7EC062BD" w14:textId="77777777" w:rsidR="000C26DE" w:rsidRPr="000C26DE" w:rsidRDefault="000C26DE" w:rsidP="00246B77">
      <w:pPr>
        <w:numPr>
          <w:ilvl w:val="0"/>
          <w:numId w:val="14"/>
        </w:numPr>
        <w:spacing w:after="0" w:line="240" w:lineRule="auto"/>
        <w:ind w:left="284" w:hanging="142"/>
        <w:contextualSpacing/>
        <w:jc w:val="both"/>
        <w:rPr>
          <w:rFonts w:eastAsia="MS Mincho" w:cs="Arial"/>
        </w:rPr>
      </w:pPr>
      <w:r w:rsidRPr="000C26DE">
        <w:rPr>
          <w:rFonts w:eastAsia="MS Mincho" w:cs="Arial"/>
        </w:rPr>
        <w:lastRenderedPageBreak/>
        <w:t>Spectre d’absorption obtenu au laboratoire d’une solution aqueuse de permanganate de potassium :</w:t>
      </w:r>
    </w:p>
    <w:p w14:paraId="3598D93B" w14:textId="77777777" w:rsidR="000C26DE" w:rsidRPr="000C26DE" w:rsidRDefault="000C26DE" w:rsidP="000C26DE">
      <w:pPr>
        <w:spacing w:after="0" w:line="240" w:lineRule="auto"/>
        <w:ind w:left="0"/>
        <w:rPr>
          <w:rFonts w:eastAsia="MS Mincho" w:cs="Arial"/>
        </w:rPr>
      </w:pPr>
    </w:p>
    <w:p w14:paraId="43D28DEA" w14:textId="77777777" w:rsidR="000C26DE" w:rsidRPr="000C26DE" w:rsidRDefault="000C26DE" w:rsidP="000C26DE">
      <w:pPr>
        <w:spacing w:after="0" w:line="240" w:lineRule="auto"/>
        <w:ind w:left="0"/>
        <w:jc w:val="center"/>
        <w:rPr>
          <w:rFonts w:eastAsia="MS Mincho" w:cs="Arial"/>
        </w:rPr>
      </w:pPr>
      <w:r w:rsidRPr="000C26DE">
        <w:rPr>
          <w:rFonts w:eastAsia="MS Mincho" w:cs="Arial"/>
          <w:noProof/>
        </w:rPr>
        <w:drawing>
          <wp:inline distT="0" distB="0" distL="0" distR="0" wp14:anchorId="3755666D" wp14:editId="6247303F">
            <wp:extent cx="3430800" cy="31284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3430800" cy="3128400"/>
                    </a:xfrm>
                    <a:prstGeom prst="rect">
                      <a:avLst/>
                    </a:prstGeom>
                    <a:noFill/>
                    <a:ln w="9525">
                      <a:noFill/>
                      <a:miter lim="800000"/>
                      <a:headEnd/>
                      <a:tailEnd/>
                    </a:ln>
                  </pic:spPr>
                </pic:pic>
              </a:graphicData>
            </a:graphic>
          </wp:inline>
        </w:drawing>
      </w:r>
    </w:p>
    <w:p w14:paraId="7F89D8AE" w14:textId="77777777" w:rsidR="000C26DE" w:rsidRPr="000C26DE" w:rsidRDefault="000C26DE" w:rsidP="000C26DE">
      <w:pPr>
        <w:numPr>
          <w:ilvl w:val="0"/>
          <w:numId w:val="13"/>
        </w:numPr>
        <w:spacing w:after="0" w:line="240" w:lineRule="auto"/>
        <w:contextualSpacing/>
        <w:jc w:val="both"/>
        <w:rPr>
          <w:rFonts w:eastAsia="MS Mincho" w:cs="Arial"/>
          <w:b/>
        </w:rPr>
      </w:pPr>
      <w:r w:rsidRPr="000C26DE">
        <w:rPr>
          <w:rFonts w:eastAsia="MS Mincho" w:cs="Arial"/>
          <w:b/>
        </w:rPr>
        <w:t>Préparation de la solution à titrer</w:t>
      </w:r>
    </w:p>
    <w:p w14:paraId="664A7FB9" w14:textId="77777777" w:rsidR="000C26DE" w:rsidRPr="000C26DE" w:rsidRDefault="000C26DE" w:rsidP="000C26DE">
      <w:pPr>
        <w:spacing w:after="0" w:line="240" w:lineRule="auto"/>
        <w:ind w:left="720"/>
        <w:contextualSpacing/>
        <w:jc w:val="both"/>
        <w:rPr>
          <w:rFonts w:eastAsia="MS Mincho" w:cs="Arial"/>
          <w:b/>
        </w:rPr>
      </w:pPr>
    </w:p>
    <w:p w14:paraId="5312C76E" w14:textId="77777777" w:rsidR="000C26DE" w:rsidRPr="000C26DE" w:rsidRDefault="000C26DE" w:rsidP="00246B77">
      <w:pPr>
        <w:spacing w:after="0" w:line="240" w:lineRule="auto"/>
        <w:ind w:left="0"/>
        <w:jc w:val="both"/>
        <w:rPr>
          <w:rFonts w:eastAsia="MS Mincho" w:cs="Arial"/>
          <w:b/>
        </w:rPr>
      </w:pPr>
      <w:r w:rsidRPr="000C26DE">
        <w:rPr>
          <w:rFonts w:eastAsia="MS Mincho" w:cs="Arial"/>
        </w:rPr>
        <w:t>Afin de procéder au titrage du peroxyde d’hydrogène contenue dans la solution commerciale par les ions permanganate, la solution commerciale S est diluée dix fois pour obtenir la solution S’.</w:t>
      </w:r>
    </w:p>
    <w:p w14:paraId="12799E08" w14:textId="77777777" w:rsidR="000C26DE" w:rsidRPr="000C26DE" w:rsidRDefault="000C26DE" w:rsidP="000C26DE">
      <w:pPr>
        <w:spacing w:after="0" w:line="240" w:lineRule="auto"/>
        <w:ind w:left="0"/>
        <w:rPr>
          <w:rFonts w:eastAsia="MS Mincho" w:cs="Arial"/>
        </w:rPr>
      </w:pPr>
    </w:p>
    <w:p w14:paraId="5EB04EEE" w14:textId="77777777" w:rsidR="000C26DE" w:rsidRPr="000C26DE" w:rsidRDefault="000C26DE" w:rsidP="00246B77">
      <w:pPr>
        <w:numPr>
          <w:ilvl w:val="1"/>
          <w:numId w:val="13"/>
        </w:numPr>
        <w:spacing w:after="0" w:line="240" w:lineRule="auto"/>
        <w:contextualSpacing/>
        <w:jc w:val="both"/>
        <w:rPr>
          <w:rFonts w:eastAsia="MS Mincho" w:cs="Arial"/>
        </w:rPr>
      </w:pPr>
      <w:r w:rsidRPr="000C26DE">
        <w:rPr>
          <w:rFonts w:eastAsia="MS Mincho" w:cs="Arial"/>
        </w:rPr>
        <w:t>Rédiger précisément le protocole à suivre pour réaliser cette dilution.</w:t>
      </w:r>
    </w:p>
    <w:p w14:paraId="2CD0D8E1" w14:textId="77777777" w:rsidR="000C26DE" w:rsidRPr="000C26DE" w:rsidRDefault="000C26DE" w:rsidP="00246B77">
      <w:pPr>
        <w:numPr>
          <w:ilvl w:val="1"/>
          <w:numId w:val="13"/>
        </w:numPr>
        <w:spacing w:after="0" w:line="240" w:lineRule="auto"/>
        <w:contextualSpacing/>
        <w:jc w:val="both"/>
        <w:rPr>
          <w:rFonts w:eastAsia="MS Mincho" w:cs="Arial"/>
        </w:rPr>
      </w:pPr>
      <w:r w:rsidRPr="000C26DE">
        <w:rPr>
          <w:rFonts w:eastAsia="MS Mincho" w:cs="Arial"/>
        </w:rPr>
        <w:t>Seuls les ions permanganate sont colorés en solution aqueuse. Justifier cette propriété et préciser la couleur de ces ions en solution aqueuse.</w:t>
      </w:r>
    </w:p>
    <w:p w14:paraId="631CF01A" w14:textId="77777777" w:rsidR="000C26DE" w:rsidRPr="000C26DE" w:rsidRDefault="000C26DE" w:rsidP="000C26DE">
      <w:pPr>
        <w:spacing w:after="0" w:line="240" w:lineRule="auto"/>
        <w:ind w:left="0"/>
        <w:jc w:val="both"/>
        <w:rPr>
          <w:rFonts w:eastAsia="MS Mincho" w:cs="Arial"/>
        </w:rPr>
      </w:pPr>
    </w:p>
    <w:p w14:paraId="6833F068" w14:textId="77777777" w:rsidR="000C26DE" w:rsidRPr="000C26DE" w:rsidRDefault="000C26DE" w:rsidP="000C26DE">
      <w:pPr>
        <w:numPr>
          <w:ilvl w:val="0"/>
          <w:numId w:val="13"/>
        </w:numPr>
        <w:spacing w:after="0" w:line="240" w:lineRule="auto"/>
        <w:contextualSpacing/>
        <w:jc w:val="both"/>
        <w:rPr>
          <w:rFonts w:eastAsia="MS Mincho" w:cs="Arial"/>
          <w:b/>
        </w:rPr>
      </w:pPr>
      <w:r w:rsidRPr="000C26DE">
        <w:rPr>
          <w:rFonts w:eastAsia="MS Mincho" w:cs="Arial"/>
          <w:b/>
        </w:rPr>
        <w:t xml:space="preserve">Titrage du peroxyde d’hydrogène par les ions permanganate </w:t>
      </w:r>
    </w:p>
    <w:p w14:paraId="68DB868C" w14:textId="77777777" w:rsidR="000C26DE" w:rsidRPr="000C26DE" w:rsidRDefault="000C26DE" w:rsidP="00246B77">
      <w:pPr>
        <w:spacing w:after="0" w:line="240" w:lineRule="auto"/>
        <w:ind w:left="0"/>
        <w:jc w:val="both"/>
        <w:rPr>
          <w:rFonts w:eastAsia="MS Mincho" w:cs="Arial"/>
        </w:rPr>
      </w:pPr>
      <w:r w:rsidRPr="000C26DE">
        <w:rPr>
          <w:rFonts w:eastAsia="MS Mincho" w:cs="Arial"/>
        </w:rPr>
        <w:t xml:space="preserve">Il est procédé au titrage d’oxydoréduction suivi par colorimétrie de </w:t>
      </w:r>
      <w:r w:rsidRPr="000C26DE">
        <w:rPr>
          <w:rFonts w:eastAsia="MS Mincho" w:cs="Arial"/>
          <w:i/>
        </w:rPr>
        <w:t>V’</w:t>
      </w:r>
      <w:r w:rsidRPr="000C26DE">
        <w:rPr>
          <w:rFonts w:eastAsia="MS Mincho" w:cs="Arial"/>
        </w:rPr>
        <w:t xml:space="preserve">=20,0 ± 0,05 mL de la solution S’ par une solution de permanganate de potassium de concentration en quantité de matière égale à </w:t>
      </w:r>
      <w:r w:rsidRPr="000C26DE">
        <w:rPr>
          <w:rFonts w:eastAsia="MS Mincho" w:cs="Arial"/>
          <w:i/>
        </w:rPr>
        <w:t>C</w:t>
      </w:r>
      <w:r w:rsidRPr="000C26DE">
        <w:rPr>
          <w:rFonts w:eastAsia="MS Mincho" w:cs="Arial"/>
          <w:i/>
          <w:vertAlign w:val="subscript"/>
        </w:rPr>
        <w:t>0</w:t>
      </w:r>
      <w:r w:rsidRPr="000C26DE">
        <w:rPr>
          <w:rFonts w:eastAsia="MS Mincho" w:cs="Arial"/>
        </w:rPr>
        <w:t xml:space="preserve"> = (5,00 ± 0,2).10</w:t>
      </w:r>
      <w:r w:rsidRPr="000C26DE">
        <w:rPr>
          <w:rFonts w:eastAsia="MS Mincho" w:cs="Arial"/>
          <w:vertAlign w:val="superscript"/>
        </w:rPr>
        <w:t>-2</w:t>
      </w:r>
      <w:r w:rsidRPr="000C26DE">
        <w:rPr>
          <w:rFonts w:eastAsia="MS Mincho" w:cs="Arial"/>
        </w:rPr>
        <w:t xml:space="preserve"> mol.L</w:t>
      </w:r>
      <w:r w:rsidRPr="000C26DE">
        <w:rPr>
          <w:rFonts w:eastAsia="MS Mincho" w:cs="Arial"/>
          <w:vertAlign w:val="superscript"/>
        </w:rPr>
        <w:t>-1</w:t>
      </w:r>
      <w:r w:rsidRPr="000C26DE">
        <w:rPr>
          <w:rFonts w:eastAsia="MS Mincho" w:cs="Arial"/>
        </w:rPr>
        <w:t xml:space="preserve">. Lors de ce titrage colorimétrique, le volume obtenu à l’équivalence est de </w:t>
      </w:r>
      <w:proofErr w:type="spellStart"/>
      <w:r w:rsidRPr="000C26DE">
        <w:rPr>
          <w:rFonts w:eastAsia="MS Mincho" w:cs="Arial"/>
          <w:i/>
        </w:rPr>
        <w:t>Véq</w:t>
      </w:r>
      <w:proofErr w:type="spellEnd"/>
      <w:r w:rsidRPr="000C26DE">
        <w:rPr>
          <w:rFonts w:eastAsia="MS Mincho" w:cs="Arial"/>
        </w:rPr>
        <w:t> = 13,7 ± 0,05 mL.</w:t>
      </w:r>
    </w:p>
    <w:p w14:paraId="48C5A311" w14:textId="77777777" w:rsidR="000C26DE" w:rsidRPr="000C26DE" w:rsidRDefault="000C26DE" w:rsidP="000C26DE">
      <w:pPr>
        <w:spacing w:after="0" w:line="240" w:lineRule="auto"/>
        <w:ind w:left="0"/>
        <w:rPr>
          <w:rFonts w:eastAsia="MS Mincho" w:cs="Arial"/>
        </w:rPr>
      </w:pPr>
    </w:p>
    <w:p w14:paraId="610DA6D4" w14:textId="77777777" w:rsidR="000C26DE" w:rsidRPr="000C26DE" w:rsidRDefault="000C26DE" w:rsidP="00246B77">
      <w:pPr>
        <w:numPr>
          <w:ilvl w:val="1"/>
          <w:numId w:val="13"/>
        </w:numPr>
        <w:spacing w:after="0" w:line="240" w:lineRule="auto"/>
        <w:contextualSpacing/>
        <w:jc w:val="both"/>
        <w:rPr>
          <w:rFonts w:eastAsia="MS Mincho" w:cs="Arial"/>
        </w:rPr>
      </w:pPr>
      <w:r w:rsidRPr="000C26DE">
        <w:rPr>
          <w:rFonts w:eastAsia="MS Mincho" w:cs="Arial"/>
        </w:rPr>
        <w:t>Schématiser le montage expérimental utilisé en le légendant.</w:t>
      </w:r>
    </w:p>
    <w:p w14:paraId="63C6032E" w14:textId="11E59BBB" w:rsidR="000C26DE" w:rsidRPr="000C26DE" w:rsidRDefault="000C26DE" w:rsidP="00246B77">
      <w:pPr>
        <w:numPr>
          <w:ilvl w:val="1"/>
          <w:numId w:val="13"/>
        </w:numPr>
        <w:spacing w:after="0" w:line="240" w:lineRule="auto"/>
        <w:contextualSpacing/>
        <w:jc w:val="both"/>
        <w:rPr>
          <w:rFonts w:eastAsia="MS Mincho" w:cs="Arial"/>
          <w:i/>
        </w:rPr>
      </w:pPr>
      <w:r>
        <w:rPr>
          <w:rFonts w:eastAsia="MS Mincho" w:cs="Arial"/>
        </w:rPr>
        <w:t>É</w:t>
      </w:r>
      <w:r w:rsidRPr="000C26DE">
        <w:rPr>
          <w:rFonts w:eastAsia="MS Mincho" w:cs="Arial"/>
        </w:rPr>
        <w:t>crire les demi-équations électroniques mises en jeu lors du titrage permettant de retrouver l’équation de la réaction d’oxydoréduction support du titrage.</w:t>
      </w:r>
    </w:p>
    <w:p w14:paraId="3E74F8B1" w14:textId="77777777" w:rsidR="000C26DE" w:rsidRPr="000C26DE" w:rsidRDefault="000C26DE" w:rsidP="00246B77">
      <w:pPr>
        <w:numPr>
          <w:ilvl w:val="1"/>
          <w:numId w:val="13"/>
        </w:numPr>
        <w:spacing w:after="0" w:line="240" w:lineRule="auto"/>
        <w:contextualSpacing/>
        <w:jc w:val="both"/>
        <w:rPr>
          <w:rFonts w:eastAsia="MS Mincho" w:cs="Arial"/>
        </w:rPr>
      </w:pPr>
      <w:r w:rsidRPr="000C26DE">
        <w:rPr>
          <w:rFonts w:eastAsia="MS Mincho" w:cs="Arial"/>
        </w:rPr>
        <w:t xml:space="preserve">Définir l’équivalence et donner, à l’équivalence, la relation entre les quantités de matière des ions permanganate introduits </w:t>
      </w:r>
      <w:r w:rsidRPr="000C26DE">
        <w:rPr>
          <w:rFonts w:eastAsia="MS Mincho" w:cs="Arial"/>
          <w:i/>
        </w:rPr>
        <w:t>n</w:t>
      </w:r>
      <w:r w:rsidRPr="000C26DE">
        <w:rPr>
          <w:rFonts w:eastAsia="MS Mincho" w:cs="Arial"/>
        </w:rPr>
        <w:t>(MnO</w:t>
      </w:r>
      <w:r w:rsidRPr="000C26DE">
        <w:rPr>
          <w:rFonts w:eastAsia="MS Mincho" w:cs="Arial"/>
          <w:vertAlign w:val="subscript"/>
        </w:rPr>
        <w:t>4</w:t>
      </w:r>
      <w:r w:rsidRPr="000C26DE">
        <w:rPr>
          <w:rFonts w:eastAsia="MS Mincho" w:cs="Arial"/>
          <w:vertAlign w:val="superscript"/>
        </w:rPr>
        <w:t>-</w:t>
      </w:r>
      <w:r w:rsidRPr="000C26DE">
        <w:rPr>
          <w:rFonts w:eastAsia="MS Mincho" w:cs="Arial"/>
        </w:rPr>
        <w:t>(</w:t>
      </w:r>
      <w:proofErr w:type="spellStart"/>
      <w:r w:rsidRPr="000C26DE">
        <w:rPr>
          <w:rFonts w:eastAsia="MS Mincho" w:cs="Arial"/>
        </w:rPr>
        <w:t>aq</w:t>
      </w:r>
      <w:proofErr w:type="spellEnd"/>
      <w:r w:rsidRPr="000C26DE">
        <w:rPr>
          <w:rFonts w:eastAsia="MS Mincho" w:cs="Arial"/>
        </w:rPr>
        <w:t xml:space="preserve">)) et du peroxyde d’hydrogène </w:t>
      </w:r>
      <w:r w:rsidRPr="000C26DE">
        <w:rPr>
          <w:rFonts w:eastAsia="MS Mincho" w:cs="Arial"/>
          <w:i/>
        </w:rPr>
        <w:t>n</w:t>
      </w:r>
      <w:r w:rsidRPr="000C26DE">
        <w:rPr>
          <w:rFonts w:eastAsia="MS Mincho" w:cs="Arial"/>
        </w:rPr>
        <w:t>(H</w:t>
      </w:r>
      <w:r w:rsidRPr="000C26DE">
        <w:rPr>
          <w:rFonts w:eastAsia="MS Mincho" w:cs="Arial"/>
          <w:vertAlign w:val="subscript"/>
        </w:rPr>
        <w:t>2</w:t>
      </w:r>
      <w:r w:rsidRPr="000C26DE">
        <w:rPr>
          <w:rFonts w:eastAsia="MS Mincho" w:cs="Arial"/>
        </w:rPr>
        <w:t>O</w:t>
      </w:r>
      <w:r w:rsidRPr="000C26DE">
        <w:rPr>
          <w:rFonts w:eastAsia="MS Mincho" w:cs="Arial"/>
          <w:vertAlign w:val="subscript"/>
        </w:rPr>
        <w:t>2</w:t>
      </w:r>
      <w:r w:rsidRPr="000C26DE">
        <w:rPr>
          <w:rFonts w:eastAsia="MS Mincho" w:cs="Arial"/>
        </w:rPr>
        <w:t>(</w:t>
      </w:r>
      <w:proofErr w:type="spellStart"/>
      <w:r w:rsidRPr="000C26DE">
        <w:rPr>
          <w:rFonts w:eastAsia="MS Mincho" w:cs="Arial"/>
        </w:rPr>
        <w:t>aq</w:t>
      </w:r>
      <w:proofErr w:type="spellEnd"/>
      <w:r w:rsidRPr="000C26DE">
        <w:rPr>
          <w:rFonts w:eastAsia="MS Mincho" w:cs="Arial"/>
        </w:rPr>
        <w:t>)) initialement présent dans l’échantillon titré.</w:t>
      </w:r>
    </w:p>
    <w:p w14:paraId="2875773E" w14:textId="77777777" w:rsidR="000C26DE" w:rsidRPr="000C26DE" w:rsidRDefault="000C26DE" w:rsidP="00246B77">
      <w:pPr>
        <w:numPr>
          <w:ilvl w:val="1"/>
          <w:numId w:val="13"/>
        </w:numPr>
        <w:spacing w:after="0" w:line="240" w:lineRule="auto"/>
        <w:contextualSpacing/>
        <w:jc w:val="both"/>
        <w:rPr>
          <w:rFonts w:eastAsia="MS Mincho" w:cs="Arial"/>
        </w:rPr>
      </w:pPr>
      <w:r w:rsidRPr="000C26DE">
        <w:rPr>
          <w:rFonts w:eastAsia="MS Mincho" w:cs="Arial"/>
        </w:rPr>
        <w:t>Comment l’équivalence est-elle repérée lors de ce titrage ?</w:t>
      </w:r>
    </w:p>
    <w:p w14:paraId="3D6C504D" w14:textId="77777777" w:rsidR="000C26DE" w:rsidRPr="000C26DE" w:rsidRDefault="000C26DE" w:rsidP="00246B77">
      <w:pPr>
        <w:numPr>
          <w:ilvl w:val="1"/>
          <w:numId w:val="13"/>
        </w:numPr>
        <w:spacing w:after="0" w:line="240" w:lineRule="auto"/>
        <w:contextualSpacing/>
        <w:jc w:val="both"/>
        <w:rPr>
          <w:rFonts w:eastAsia="MS Mincho" w:cs="Arial"/>
        </w:rPr>
      </w:pPr>
      <w:r w:rsidRPr="000C26DE">
        <w:rPr>
          <w:rFonts w:eastAsia="MS Mincho" w:cs="Arial"/>
        </w:rPr>
        <w:t xml:space="preserve">Déterminer </w:t>
      </w:r>
      <w:r w:rsidRPr="000C26DE">
        <w:rPr>
          <w:rFonts w:eastAsia="MS Mincho" w:cs="Arial"/>
          <w:i/>
        </w:rPr>
        <w:t>C’</w:t>
      </w:r>
      <w:r w:rsidRPr="000C26DE">
        <w:rPr>
          <w:rFonts w:eastAsia="MS Mincho" w:cs="Arial"/>
        </w:rPr>
        <w:t>, la concentration en quantité de matière du peroxyde d’hydrogène de la solution S’.</w:t>
      </w:r>
    </w:p>
    <w:p w14:paraId="7F517E73" w14:textId="17170928" w:rsidR="000C26DE" w:rsidRPr="000C26DE" w:rsidRDefault="000C26DE" w:rsidP="00246B77">
      <w:pPr>
        <w:numPr>
          <w:ilvl w:val="1"/>
          <w:numId w:val="13"/>
        </w:numPr>
        <w:spacing w:after="0" w:line="240" w:lineRule="auto"/>
        <w:contextualSpacing/>
        <w:jc w:val="both"/>
        <w:rPr>
          <w:rFonts w:eastAsia="MS Mincho" w:cs="Arial"/>
        </w:rPr>
      </w:pPr>
      <w:r w:rsidRPr="000C26DE">
        <w:rPr>
          <w:rFonts w:eastAsia="MS Mincho" w:cs="Arial"/>
        </w:rPr>
        <w:t xml:space="preserve">L’incertitude relative sur C vaut </w:t>
      </w:r>
      <w:r w:rsidRPr="000C26DE">
        <w:rPr>
          <w:rFonts w:eastAsia="MS Mincho" w:cs="Arial"/>
          <w:color w:val="000000"/>
        </w:rPr>
        <w:t xml:space="preserve">U(C)=0,034 </w:t>
      </w:r>
      <w:proofErr w:type="gramStart"/>
      <w:r w:rsidRPr="000C26DE">
        <w:rPr>
          <w:rFonts w:eastAsia="MS Mincho" w:cs="Arial"/>
          <w:color w:val="000000"/>
        </w:rPr>
        <w:t>mol.L</w:t>
      </w:r>
      <w:proofErr w:type="gramEnd"/>
      <w:r w:rsidRPr="000C26DE">
        <w:rPr>
          <w:rFonts w:eastAsia="MS Mincho" w:cs="Arial"/>
          <w:color w:val="000000"/>
          <w:vertAlign w:val="superscript"/>
        </w:rPr>
        <w:t>-1</w:t>
      </w:r>
      <w:r w:rsidRPr="000C26DE">
        <w:rPr>
          <w:rFonts w:eastAsia="MS Mincho" w:cs="Arial"/>
          <w:color w:val="000000"/>
        </w:rPr>
        <w:t>.</w:t>
      </w:r>
      <w:r w:rsidRPr="000C26DE">
        <w:rPr>
          <w:rFonts w:eastAsia="MS Mincho" w:cs="Arial"/>
        </w:rPr>
        <w:t xml:space="preserve">Proposer un encadrement de la concentration en quantité de matière </w:t>
      </w:r>
      <w:r w:rsidRPr="000C26DE">
        <w:rPr>
          <w:rFonts w:eastAsia="MS Mincho" w:cs="Arial"/>
          <w:i/>
        </w:rPr>
        <w:t>C</w:t>
      </w:r>
      <w:r w:rsidRPr="000C26DE">
        <w:rPr>
          <w:rFonts w:eastAsia="MS Mincho" w:cs="Arial"/>
        </w:rPr>
        <w:t xml:space="preserve"> du peroxyde d’hydrogène de la solution commerciale S</w:t>
      </w:r>
      <w:r w:rsidR="00246B77">
        <w:rPr>
          <w:rFonts w:eastAsia="MS Mincho" w:cs="Arial"/>
          <w:iCs/>
        </w:rPr>
        <w:t>.</w:t>
      </w:r>
    </w:p>
    <w:p w14:paraId="746CF1DE" w14:textId="77777777" w:rsidR="000C26DE" w:rsidRPr="000C26DE" w:rsidRDefault="000C26DE" w:rsidP="000C26DE">
      <w:pPr>
        <w:spacing w:after="0" w:line="240" w:lineRule="auto"/>
        <w:ind w:left="1080"/>
        <w:contextualSpacing/>
        <w:jc w:val="both"/>
        <w:rPr>
          <w:rFonts w:eastAsia="MS Mincho" w:cs="Arial"/>
        </w:rPr>
      </w:pPr>
    </w:p>
    <w:p w14:paraId="7CBF3DB1" w14:textId="581255EC" w:rsidR="000C26DE" w:rsidRPr="003A014A" w:rsidRDefault="000C26DE" w:rsidP="003A014A">
      <w:pPr>
        <w:numPr>
          <w:ilvl w:val="0"/>
          <w:numId w:val="13"/>
        </w:numPr>
        <w:spacing w:after="0" w:line="240" w:lineRule="auto"/>
        <w:contextualSpacing/>
        <w:jc w:val="both"/>
        <w:rPr>
          <w:rFonts w:eastAsia="MS Mincho" w:cs="Arial"/>
          <w:b/>
        </w:rPr>
      </w:pPr>
      <w:r w:rsidRPr="000C26DE">
        <w:rPr>
          <w:rFonts w:eastAsia="MS Mincho" w:cs="Arial"/>
          <w:b/>
        </w:rPr>
        <w:t>Conformité de la solution avec les indications de l’étiquette</w:t>
      </w:r>
    </w:p>
    <w:p w14:paraId="4FAE9FEB" w14:textId="77777777" w:rsidR="000C26DE" w:rsidRPr="000C26DE" w:rsidRDefault="000C26DE" w:rsidP="00246B77">
      <w:pPr>
        <w:numPr>
          <w:ilvl w:val="1"/>
          <w:numId w:val="13"/>
        </w:numPr>
        <w:spacing w:after="0" w:line="240" w:lineRule="auto"/>
        <w:contextualSpacing/>
        <w:jc w:val="both"/>
        <w:rPr>
          <w:rFonts w:eastAsia="MS Mincho" w:cs="Arial"/>
        </w:rPr>
      </w:pPr>
      <w:r w:rsidRPr="000C26DE">
        <w:rPr>
          <w:rFonts w:eastAsia="MS Mincho" w:cs="Arial"/>
        </w:rPr>
        <w:t>Vérifier que la concen</w:t>
      </w:r>
      <w:bookmarkStart w:id="0" w:name="_GoBack"/>
      <w:bookmarkEnd w:id="0"/>
      <w:r w:rsidRPr="000C26DE">
        <w:rPr>
          <w:rFonts w:eastAsia="MS Mincho" w:cs="Arial"/>
        </w:rPr>
        <w:t xml:space="preserve">tration </w:t>
      </w:r>
      <w:proofErr w:type="spellStart"/>
      <w:r w:rsidRPr="000C26DE">
        <w:rPr>
          <w:rFonts w:eastAsia="MS Mincho" w:cs="Arial"/>
          <w:i/>
        </w:rPr>
        <w:t>C</w:t>
      </w:r>
      <w:r w:rsidRPr="000C26DE">
        <w:rPr>
          <w:rFonts w:eastAsia="MS Mincho" w:cs="Arial"/>
          <w:i/>
          <w:vertAlign w:val="subscript"/>
        </w:rPr>
        <w:t>étiquette</w:t>
      </w:r>
      <w:proofErr w:type="spellEnd"/>
      <w:r w:rsidRPr="000C26DE">
        <w:rPr>
          <w:rFonts w:eastAsia="MS Mincho" w:cs="Arial"/>
          <w:i/>
        </w:rPr>
        <w:t xml:space="preserve"> </w:t>
      </w:r>
      <w:r w:rsidRPr="000C26DE">
        <w:rPr>
          <w:rFonts w:eastAsia="MS Mincho" w:cs="Arial"/>
        </w:rPr>
        <w:t>en quantité de matière du peroxyde d’hydrogène indiquée sur l’étiquette correspond à 0,89 mol.L</w:t>
      </w:r>
      <w:r w:rsidRPr="000C26DE">
        <w:rPr>
          <w:rFonts w:eastAsia="MS Mincho" w:cs="Arial"/>
          <w:vertAlign w:val="superscript"/>
        </w:rPr>
        <w:t>-1</w:t>
      </w:r>
      <w:r w:rsidRPr="000C26DE">
        <w:rPr>
          <w:rFonts w:eastAsia="MS Mincho" w:cs="Arial"/>
        </w:rPr>
        <w:t>.</w:t>
      </w:r>
    </w:p>
    <w:p w14:paraId="7939D482" w14:textId="77777777" w:rsidR="000C26DE" w:rsidRPr="000C26DE" w:rsidRDefault="000C26DE" w:rsidP="00246B77">
      <w:pPr>
        <w:numPr>
          <w:ilvl w:val="1"/>
          <w:numId w:val="13"/>
        </w:numPr>
        <w:spacing w:after="0" w:line="240" w:lineRule="auto"/>
        <w:contextualSpacing/>
        <w:jc w:val="both"/>
        <w:rPr>
          <w:rFonts w:eastAsia="MS Mincho" w:cs="Arial"/>
          <w:bCs/>
          <w:iCs/>
        </w:rPr>
      </w:pPr>
      <w:r w:rsidRPr="000C26DE">
        <w:rPr>
          <w:rFonts w:eastAsia="MS Mincho" w:cs="Arial"/>
        </w:rPr>
        <w:t>Les indications de l’étiquette correspondent-elles à la solution commerciale analysée ?</w:t>
      </w:r>
    </w:p>
    <w:p w14:paraId="3A9A6CC6" w14:textId="69C705EA" w:rsidR="00246B77" w:rsidRDefault="00246B77">
      <w:pPr>
        <w:spacing w:after="0" w:line="240" w:lineRule="auto"/>
        <w:ind w:left="0"/>
        <w:rPr>
          <w:rFonts w:eastAsia="MS Mincho" w:cs="Arial"/>
          <w:bCs/>
          <w:iCs/>
        </w:rPr>
      </w:pPr>
      <w:r>
        <w:rPr>
          <w:rFonts w:eastAsia="MS Mincho" w:cs="Arial"/>
          <w:bCs/>
          <w:iCs/>
        </w:rPr>
        <w:br w:type="page"/>
      </w:r>
    </w:p>
    <w:p w14:paraId="514BB0D6" w14:textId="77777777" w:rsidR="000C26DE" w:rsidRPr="000C26DE" w:rsidRDefault="000C26DE" w:rsidP="000C26DE">
      <w:pPr>
        <w:numPr>
          <w:ilvl w:val="0"/>
          <w:numId w:val="13"/>
        </w:numPr>
        <w:spacing w:after="0" w:line="240" w:lineRule="auto"/>
        <w:contextualSpacing/>
        <w:rPr>
          <w:rFonts w:eastAsia="MS Mincho" w:cs="Arial"/>
          <w:b/>
        </w:rPr>
      </w:pPr>
      <w:r w:rsidRPr="000C26DE">
        <w:rPr>
          <w:rFonts w:eastAsia="MS Mincho" w:cs="Arial"/>
          <w:b/>
        </w:rPr>
        <w:lastRenderedPageBreak/>
        <w:t>Efficacité d’une bouteille d’eau oxygénée ouverte depuis plusieurs mois </w:t>
      </w:r>
    </w:p>
    <w:p w14:paraId="292FA643" w14:textId="77777777" w:rsidR="000C26DE" w:rsidRPr="000C26DE" w:rsidRDefault="000C26DE" w:rsidP="00EB71AD">
      <w:pPr>
        <w:widowControl w:val="0"/>
        <w:autoSpaceDE w:val="0"/>
        <w:autoSpaceDN w:val="0"/>
        <w:adjustRightInd w:val="0"/>
        <w:spacing w:after="0" w:line="240" w:lineRule="auto"/>
        <w:ind w:left="0"/>
        <w:jc w:val="both"/>
        <w:rPr>
          <w:rFonts w:eastAsia="MS Mincho" w:cs="Arial"/>
        </w:rPr>
      </w:pPr>
      <w:r w:rsidRPr="000C26DE">
        <w:rPr>
          <w:rFonts w:eastAsia="MS Mincho" w:cs="Arial"/>
        </w:rPr>
        <w:t>Une bouteille d'eau oxygénée a été ouverte depuis plusieurs mois. L'eau oxygénée peut réagir avec le dioxygène de l'air et perdre ainsi toute ou une partie de ses propriétés antiseptiques. On considère que l’eau oxygénée est encore efficace pour désinfecter les plaies si son titre est au moins égal à 0,5 volume.</w:t>
      </w:r>
    </w:p>
    <w:p w14:paraId="240A1EA0" w14:textId="77777777" w:rsidR="000C26DE" w:rsidRPr="000C26DE" w:rsidRDefault="000C26DE" w:rsidP="00EB71AD">
      <w:pPr>
        <w:widowControl w:val="0"/>
        <w:autoSpaceDE w:val="0"/>
        <w:autoSpaceDN w:val="0"/>
        <w:adjustRightInd w:val="0"/>
        <w:spacing w:after="0" w:line="240" w:lineRule="auto"/>
        <w:ind w:left="0"/>
        <w:jc w:val="both"/>
        <w:rPr>
          <w:rFonts w:eastAsia="MS Mincho" w:cs="Arial"/>
        </w:rPr>
      </w:pPr>
      <w:r w:rsidRPr="000C26DE">
        <w:rPr>
          <w:rFonts w:eastAsia="MS Mincho" w:cs="Arial"/>
        </w:rPr>
        <w:t xml:space="preserve">Le protocole de titrage est reproduit sans diluer la solution d'eau oxygénée et le volume équivalent obtenu est alors </w:t>
      </w:r>
      <w:proofErr w:type="spellStart"/>
      <w:r w:rsidRPr="000C26DE">
        <w:rPr>
          <w:rFonts w:eastAsia="MS Mincho" w:cs="Arial"/>
          <w:i/>
        </w:rPr>
        <w:t>Veq</w:t>
      </w:r>
      <w:proofErr w:type="spellEnd"/>
      <w:r w:rsidRPr="000C26DE">
        <w:rPr>
          <w:rFonts w:eastAsia="MS Mincho" w:cs="Arial"/>
        </w:rPr>
        <w:t xml:space="preserve"> = 4,32 mL.</w:t>
      </w:r>
    </w:p>
    <w:p w14:paraId="3345A223" w14:textId="77777777" w:rsidR="000C26DE" w:rsidRPr="000C26DE" w:rsidRDefault="000C26DE" w:rsidP="000C26DE">
      <w:pPr>
        <w:widowControl w:val="0"/>
        <w:autoSpaceDE w:val="0"/>
        <w:autoSpaceDN w:val="0"/>
        <w:adjustRightInd w:val="0"/>
        <w:spacing w:after="0" w:line="240" w:lineRule="auto"/>
        <w:ind w:left="0"/>
        <w:rPr>
          <w:rFonts w:eastAsia="MS Mincho" w:cs="Arial"/>
        </w:rPr>
      </w:pPr>
    </w:p>
    <w:p w14:paraId="1169F388" w14:textId="77777777" w:rsidR="000C26DE" w:rsidRPr="000C26DE" w:rsidRDefault="000C26DE" w:rsidP="00EB71AD">
      <w:pPr>
        <w:widowControl w:val="0"/>
        <w:autoSpaceDE w:val="0"/>
        <w:autoSpaceDN w:val="0"/>
        <w:adjustRightInd w:val="0"/>
        <w:spacing w:after="0" w:line="240" w:lineRule="auto"/>
        <w:ind w:left="0"/>
        <w:jc w:val="both"/>
        <w:rPr>
          <w:rFonts w:eastAsia="MS Mincho" w:cs="Arial"/>
        </w:rPr>
      </w:pPr>
      <w:r w:rsidRPr="000C26DE">
        <w:rPr>
          <w:rFonts w:eastAsia="MS Mincho" w:cs="Arial"/>
        </w:rPr>
        <w:t>La solution contenue dans cette bouteille est-elle encore efficace ?</w:t>
      </w:r>
    </w:p>
    <w:sectPr w:rsidR="000C26DE" w:rsidRPr="000C26DE" w:rsidSect="006D1566">
      <w:headerReference w:type="even" r:id="rId10"/>
      <w:footerReference w:type="even" r:id="rId11"/>
      <w:pgSz w:w="11906" w:h="16838" w:code="9"/>
      <w:pgMar w:top="851" w:right="851" w:bottom="851" w:left="85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CF80B8" w14:textId="77777777" w:rsidR="00907220" w:rsidRDefault="00907220" w:rsidP="0053612B">
      <w:pPr>
        <w:spacing w:after="0" w:line="240" w:lineRule="auto"/>
      </w:pPr>
      <w:r>
        <w:separator/>
      </w:r>
    </w:p>
  </w:endnote>
  <w:endnote w:type="continuationSeparator" w:id="0">
    <w:p w14:paraId="4425997F" w14:textId="77777777" w:rsidR="00907220" w:rsidRDefault="00907220" w:rsidP="005361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41B75" w14:textId="714A282A" w:rsidR="00AD38CA" w:rsidRPr="00626E0F" w:rsidRDefault="002B20A9" w:rsidP="00626E0F">
    <w:pPr>
      <w:pStyle w:val="Pieddepage"/>
      <w:tabs>
        <w:tab w:val="clear" w:pos="4536"/>
        <w:tab w:val="center" w:pos="2835"/>
      </w:tabs>
      <w:ind w:left="-567"/>
      <w:rPr>
        <w:rFonts w:ascii="Arial" w:hAnsi="Arial" w:cs="Arial"/>
        <w:color w:val="000000" w:themeColor="text1"/>
      </w:rPr>
    </w:pPr>
    <w:r w:rsidRPr="00626E0F">
      <w:rPr>
        <w:rFonts w:ascii="Arial" w:hAnsi="Arial" w:cs="Arial"/>
        <w:noProof/>
        <w:color w:val="000000" w:themeColor="text1"/>
      </w:rPr>
      <mc:AlternateContent>
        <mc:Choice Requires="wps">
          <w:drawing>
            <wp:anchor distT="0" distB="0" distL="114300" distR="114300" simplePos="0" relativeHeight="251655168" behindDoc="0" locked="0" layoutInCell="1" allowOverlap="1" wp14:anchorId="572DE657" wp14:editId="38F02F0F">
              <wp:simplePos x="0" y="0"/>
              <wp:positionH relativeFrom="page">
                <wp:posOffset>3960495</wp:posOffset>
              </wp:positionH>
              <wp:positionV relativeFrom="page">
                <wp:posOffset>10081260</wp:posOffset>
              </wp:positionV>
              <wp:extent cx="3312795" cy="431800"/>
              <wp:effectExtent l="7620" t="13335" r="13335" b="12065"/>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795" cy="431800"/>
                      </a:xfrm>
                      <a:prstGeom prst="rect">
                        <a:avLst/>
                      </a:prstGeom>
                      <a:gradFill rotWithShape="1">
                        <a:gsLst>
                          <a:gs pos="0">
                            <a:srgbClr val="FFFFFF"/>
                          </a:gs>
                          <a:gs pos="100000">
                            <a:srgbClr val="FFFFFF">
                              <a:gamma/>
                              <a:tint val="0"/>
                              <a:invGamma/>
                            </a:srgbClr>
                          </a:gs>
                        </a:gsLst>
                        <a:lin ang="5400000" scaled="1"/>
                      </a:gradFill>
                      <a:ln w="3175">
                        <a:solidFill>
                          <a:srgbClr val="BFBFBF"/>
                        </a:solidFill>
                        <a:prstDash val="dash"/>
                        <a:miter lim="800000"/>
                        <a:headEnd/>
                        <a:tailEnd/>
                      </a:ln>
                    </wps:spPr>
                    <wps:txbx>
                      <w:txbxContent>
                        <w:p w14:paraId="403A9ACD" w14:textId="77777777" w:rsidR="00E51C64" w:rsidRPr="00AF5BC9" w:rsidRDefault="00E51C64" w:rsidP="00E51C64">
                          <w:pPr>
                            <w:ind w:left="0"/>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72DE657" id="_x0000_t202" coordsize="21600,21600" o:spt="202" path="m,l,21600r21600,l21600,xe">
              <v:stroke joinstyle="miter"/>
              <v:path gradientshapeok="t" o:connecttype="rect"/>
            </v:shapetype>
            <v:shape id="Zone de texte 2" o:spid="_x0000_s1036" type="#_x0000_t202" style="position:absolute;left:0;text-align:left;margin-left:311.85pt;margin-top:793.8pt;width:260.85pt;height:3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" strokecolor="#bfbfbf" strokeweight=".25pt">
              <v:fill rotate="t" focus="100%" type="gradient"/>
              <v:stroke dashstyle="dash"/>
              <v:textbox>
                <w:txbxContent>
                  <w:p w14:paraId="403A9ACD" w14:textId="77777777" w:rsidR="00E51C64" w:rsidRPr="00AF5BC9" w:rsidRDefault="00E51C64" w:rsidP="00E51C64">
                    <w:pPr>
                      <w:ind w:left="0"/>
                      <w:rPr>
                        <w:sz w:val="20"/>
                        <w:szCs w:val="20"/>
                      </w:rPr>
                    </w:pPr>
                  </w:p>
                </w:txbxContent>
              </v:textbox>
              <w10:wrap anchorx="page" anchory="page"/>
            </v:shape>
          </w:pict>
        </mc:Fallback>
      </mc:AlternateContent>
    </w:r>
    <w:r w:rsidR="008E5053" w:rsidRPr="00626E0F">
      <w:rPr>
        <w:rFonts w:ascii="Arial" w:hAnsi="Arial"/>
        <w:color w:val="000000" w:themeColor="text1"/>
        <w:sz w:val="20"/>
      </w:rPr>
      <w:t xml:space="preserve">Page </w:t>
    </w:r>
    <w:r w:rsidR="008E5053" w:rsidRPr="00626E0F">
      <w:rPr>
        <w:rFonts w:ascii="Arial" w:hAnsi="Arial"/>
        <w:color w:val="000000" w:themeColor="text1"/>
        <w:sz w:val="20"/>
      </w:rPr>
      <w:fldChar w:fldCharType="begin"/>
    </w:r>
    <w:r w:rsidR="008E5053" w:rsidRPr="00626E0F">
      <w:rPr>
        <w:rFonts w:ascii="Arial" w:hAnsi="Arial"/>
        <w:color w:val="000000" w:themeColor="text1"/>
        <w:sz w:val="20"/>
      </w:rPr>
      <w:instrText xml:space="preserve"> PAGE  \* MERGEFORMAT </w:instrText>
    </w:r>
    <w:r w:rsidR="008E5053" w:rsidRPr="00626E0F">
      <w:rPr>
        <w:rFonts w:ascii="Arial" w:hAnsi="Arial"/>
        <w:color w:val="000000" w:themeColor="text1"/>
        <w:sz w:val="20"/>
      </w:rPr>
      <w:fldChar w:fldCharType="separate"/>
    </w:r>
    <w:r w:rsidR="00476CEC" w:rsidRPr="00476CEC">
      <w:rPr>
        <w:noProof/>
        <w:color w:val="000000" w:themeColor="text1"/>
        <w:sz w:val="20"/>
      </w:rPr>
      <w:t>2</w:t>
    </w:r>
    <w:r w:rsidR="008E5053" w:rsidRPr="00626E0F">
      <w:rPr>
        <w:rFonts w:ascii="Arial" w:hAnsi="Arial"/>
        <w:color w:val="000000" w:themeColor="text1"/>
        <w:sz w:val="20"/>
      </w:rPr>
      <w:fldChar w:fldCharType="end"/>
    </w:r>
    <w:r w:rsidR="008E5053" w:rsidRPr="00626E0F">
      <w:rPr>
        <w:rFonts w:ascii="Arial" w:hAnsi="Arial"/>
        <w:color w:val="000000" w:themeColor="text1"/>
        <w:sz w:val="20"/>
      </w:rPr>
      <w:t xml:space="preserve"> / </w:t>
    </w:r>
    <w:r w:rsidR="008E5053" w:rsidRPr="00626E0F">
      <w:rPr>
        <w:rFonts w:ascii="Arial" w:hAnsi="Arial"/>
        <w:color w:val="000000" w:themeColor="text1"/>
        <w:sz w:val="20"/>
      </w:rPr>
      <w:fldChar w:fldCharType="begin"/>
    </w:r>
    <w:r w:rsidR="008E5053" w:rsidRPr="00626E0F">
      <w:rPr>
        <w:rFonts w:ascii="Arial" w:hAnsi="Arial"/>
        <w:color w:val="000000" w:themeColor="text1"/>
        <w:sz w:val="20"/>
      </w:rPr>
      <w:instrText xml:space="preserve"> NUMPAGES  \* MERGEFORMAT </w:instrText>
    </w:r>
    <w:r w:rsidR="008E5053" w:rsidRPr="00626E0F">
      <w:rPr>
        <w:rFonts w:ascii="Arial" w:hAnsi="Arial"/>
        <w:color w:val="000000" w:themeColor="text1"/>
        <w:sz w:val="20"/>
      </w:rPr>
      <w:fldChar w:fldCharType="separate"/>
    </w:r>
    <w:r w:rsidR="00476CEC" w:rsidRPr="00476CEC">
      <w:rPr>
        <w:noProof/>
        <w:color w:val="000000" w:themeColor="text1"/>
        <w:sz w:val="20"/>
      </w:rPr>
      <w:t>9</w:t>
    </w:r>
    <w:r w:rsidR="008E5053" w:rsidRPr="00626E0F">
      <w:rPr>
        <w:rFonts w:ascii="Arial" w:hAnsi="Arial"/>
        <w:color w:val="000000" w:themeColor="text1"/>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12BBF1" w14:textId="77777777" w:rsidR="00907220" w:rsidRDefault="00907220" w:rsidP="0053612B">
      <w:pPr>
        <w:spacing w:after="0" w:line="240" w:lineRule="auto"/>
      </w:pPr>
      <w:r>
        <w:separator/>
      </w:r>
    </w:p>
  </w:footnote>
  <w:footnote w:type="continuationSeparator" w:id="0">
    <w:p w14:paraId="204B95F1" w14:textId="77777777" w:rsidR="00907220" w:rsidRDefault="00907220" w:rsidP="005361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5BDA62" w14:textId="77777777" w:rsidR="0053612B" w:rsidRDefault="002B20A9" w:rsidP="0077193A">
    <w:pPr>
      <w:pStyle w:val="EnTetePiedsDePage"/>
      <w:jc w:val="center"/>
    </w:pPr>
    <w:r>
      <w:rPr>
        <w:noProof/>
      </w:rPr>
      <w:drawing>
        <wp:anchor distT="0" distB="0" distL="114300" distR="114300" simplePos="0" relativeHeight="251656192" behindDoc="0" locked="0" layoutInCell="1" allowOverlap="1" wp14:anchorId="28985DD1" wp14:editId="7853DE49">
          <wp:simplePos x="0" y="0"/>
          <wp:positionH relativeFrom="page">
            <wp:posOffset>360045</wp:posOffset>
          </wp:positionH>
          <wp:positionV relativeFrom="page">
            <wp:posOffset>360045</wp:posOffset>
          </wp:positionV>
          <wp:extent cx="6840220" cy="1546860"/>
          <wp:effectExtent l="0" t="0" r="0" b="0"/>
          <wp:wrapNone/>
          <wp:docPr id="76"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0220" cy="1546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D5D452" w14:textId="77777777" w:rsidR="00D760A4" w:rsidRDefault="00D760A4" w:rsidP="00B01E2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D34F2"/>
    <w:multiLevelType w:val="multilevel"/>
    <w:tmpl w:val="B764EB44"/>
    <w:lvl w:ilvl="0">
      <w:start w:val="1"/>
      <w:numFmt w:val="bullet"/>
      <w:lvlText w:val=""/>
      <w:lvlJc w:val="left"/>
      <w:pPr>
        <w:ind w:left="720" w:hanging="360"/>
      </w:pPr>
      <w:rPr>
        <w:rFonts w:ascii="Wingdings" w:hAnsi="Wingdings" w:cs="Wingdings"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072B2539"/>
    <w:multiLevelType w:val="multilevel"/>
    <w:tmpl w:val="5C886956"/>
    <w:lvl w:ilvl="0">
      <w:start w:val="1"/>
      <w:numFmt w:val="bullet"/>
      <w:lvlText w:val=""/>
      <w:lvlJc w:val="left"/>
      <w:pPr>
        <w:ind w:left="720" w:hanging="360"/>
      </w:pPr>
      <w:rPr>
        <w:rFonts w:ascii="Wingdings" w:hAnsi="Wingdings" w:cs="Wingdings"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17A54D6A"/>
    <w:multiLevelType w:val="multilevel"/>
    <w:tmpl w:val="E6FE4F4C"/>
    <w:lvl w:ilvl="0">
      <w:start w:val="1"/>
      <w:numFmt w:val="decimal"/>
      <w:lvlText w:val="%1"/>
      <w:lvlJc w:val="left"/>
      <w:pPr>
        <w:ind w:left="660" w:hanging="660"/>
      </w:pPr>
      <w:rPr>
        <w:rFonts w:hint="default"/>
      </w:rPr>
    </w:lvl>
    <w:lvl w:ilvl="1">
      <w:start w:val="1"/>
      <w:numFmt w:val="decimal"/>
      <w:lvlText w:val="%1.%2"/>
      <w:lvlJc w:val="left"/>
      <w:pPr>
        <w:ind w:left="1140" w:hanging="660"/>
      </w:pPr>
      <w:rPr>
        <w:rFonts w:hint="default"/>
      </w:rPr>
    </w:lvl>
    <w:lvl w:ilvl="2">
      <w:start w:val="1"/>
      <w:numFmt w:val="decimal"/>
      <w:lvlText w:val="%1.%2.%3"/>
      <w:lvlJc w:val="left"/>
      <w:pPr>
        <w:ind w:left="1855" w:hanging="720"/>
      </w:pPr>
      <w:rPr>
        <w:rFonts w:hint="default"/>
        <w:b/>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3" w15:restartNumberingAfterBreak="0">
    <w:nsid w:val="1998060A"/>
    <w:multiLevelType w:val="multilevel"/>
    <w:tmpl w:val="B058A6D2"/>
    <w:lvl w:ilvl="0">
      <w:start w:val="1"/>
      <w:numFmt w:val="bullet"/>
      <w:lvlText w:val=""/>
      <w:lvlJc w:val="left"/>
      <w:pPr>
        <w:tabs>
          <w:tab w:val="num" w:pos="720"/>
        </w:tabs>
        <w:ind w:left="720" w:hanging="360"/>
      </w:pPr>
      <w:rPr>
        <w:rFonts w:ascii="Symbol" w:hAnsi="Symbol" w:cs="OpenSymbol" w:hint="default"/>
        <w:sz w:val="22"/>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15:restartNumberingAfterBreak="0">
    <w:nsid w:val="21DE03E9"/>
    <w:multiLevelType w:val="hybridMultilevel"/>
    <w:tmpl w:val="7BB683EA"/>
    <w:lvl w:ilvl="0" w:tplc="9C9A3EB2">
      <w:start w:val="2"/>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5CF26EB"/>
    <w:multiLevelType w:val="hybridMultilevel"/>
    <w:tmpl w:val="608899C0"/>
    <w:lvl w:ilvl="0" w:tplc="10F28D8A">
      <w:start w:val="2"/>
      <w:numFmt w:val="bullet"/>
      <w:lvlText w:val="-"/>
      <w:lvlJc w:val="left"/>
      <w:pPr>
        <w:ind w:left="927" w:hanging="360"/>
      </w:pPr>
      <w:rPr>
        <w:rFonts w:ascii="Arial" w:eastAsia="Arial Unicode MS" w:hAnsi="Arial"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6" w15:restartNumberingAfterBreak="0">
    <w:nsid w:val="2FF34087"/>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3F041FD"/>
    <w:multiLevelType w:val="multilevel"/>
    <w:tmpl w:val="9C807CEC"/>
    <w:lvl w:ilvl="0">
      <w:start w:val="1"/>
      <w:numFmt w:val="bullet"/>
      <w:lvlText w:val=""/>
      <w:lvlJc w:val="left"/>
      <w:pPr>
        <w:ind w:left="780" w:hanging="360"/>
      </w:pPr>
      <w:rPr>
        <w:rFonts w:ascii="Wingdings" w:hAnsi="Wingdings" w:cs="Wingdings" w:hint="default"/>
        <w:sz w:val="24"/>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cs="Wingdings" w:hint="default"/>
      </w:rPr>
    </w:lvl>
    <w:lvl w:ilvl="3">
      <w:start w:val="1"/>
      <w:numFmt w:val="bullet"/>
      <w:lvlText w:val=""/>
      <w:lvlJc w:val="left"/>
      <w:pPr>
        <w:ind w:left="2940" w:hanging="360"/>
      </w:pPr>
      <w:rPr>
        <w:rFonts w:ascii="Symbol" w:hAnsi="Symbol" w:cs="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cs="Wingdings" w:hint="default"/>
      </w:rPr>
    </w:lvl>
    <w:lvl w:ilvl="6">
      <w:start w:val="1"/>
      <w:numFmt w:val="bullet"/>
      <w:lvlText w:val=""/>
      <w:lvlJc w:val="left"/>
      <w:pPr>
        <w:ind w:left="5100" w:hanging="360"/>
      </w:pPr>
      <w:rPr>
        <w:rFonts w:ascii="Symbol" w:hAnsi="Symbol" w:cs="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cs="Wingdings" w:hint="default"/>
      </w:rPr>
    </w:lvl>
  </w:abstractNum>
  <w:abstractNum w:abstractNumId="8" w15:restartNumberingAfterBreak="0">
    <w:nsid w:val="36C440B9"/>
    <w:multiLevelType w:val="multilevel"/>
    <w:tmpl w:val="ED1605AE"/>
    <w:lvl w:ilvl="0">
      <w:start w:val="1"/>
      <w:numFmt w:val="decimal"/>
      <w:lvlText w:val="%1."/>
      <w:lvlJc w:val="left"/>
      <w:pPr>
        <w:ind w:left="720" w:hanging="360"/>
      </w:pPr>
      <w:rPr>
        <w:rFonts w:ascii="Arial" w:hAnsi="Arial" w:cs="Arial" w:hint="default"/>
        <w:b/>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77C5E69"/>
    <w:multiLevelType w:val="multilevel"/>
    <w:tmpl w:val="023C29FC"/>
    <w:lvl w:ilvl="0">
      <w:start w:val="2"/>
      <w:numFmt w:val="decimal"/>
      <w:lvlText w:val="%1."/>
      <w:lvlJc w:val="left"/>
      <w:pPr>
        <w:ind w:left="927" w:hanging="360"/>
      </w:pPr>
      <w:rPr>
        <w:rFonts w:hint="default"/>
      </w:rPr>
    </w:lvl>
    <w:lvl w:ilvl="1">
      <w:start w:val="3"/>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0" w15:restartNumberingAfterBreak="0">
    <w:nsid w:val="4B901471"/>
    <w:multiLevelType w:val="multilevel"/>
    <w:tmpl w:val="B448A312"/>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56EC5811"/>
    <w:multiLevelType w:val="multilevel"/>
    <w:tmpl w:val="DD606544"/>
    <w:lvl w:ilvl="0">
      <w:start w:val="2"/>
      <w:numFmt w:val="decimal"/>
      <w:lvlText w:val="%1."/>
      <w:lvlJc w:val="left"/>
      <w:pPr>
        <w:ind w:left="390" w:hanging="390"/>
      </w:pPr>
      <w:rPr>
        <w:rFonts w:hint="default"/>
        <w:b/>
        <w:i/>
      </w:rPr>
    </w:lvl>
    <w:lvl w:ilvl="1">
      <w:start w:val="1"/>
      <w:numFmt w:val="decimal"/>
      <w:lvlText w:val="%1.%2."/>
      <w:lvlJc w:val="left"/>
      <w:pPr>
        <w:ind w:left="862" w:hanging="720"/>
      </w:pPr>
      <w:rPr>
        <w:rFonts w:hint="default"/>
        <w:b/>
        <w:i w:val="0"/>
      </w:rPr>
    </w:lvl>
    <w:lvl w:ilvl="2">
      <w:start w:val="1"/>
      <w:numFmt w:val="decimal"/>
      <w:lvlText w:val="%1.%2.%3."/>
      <w:lvlJc w:val="left"/>
      <w:pPr>
        <w:ind w:left="720" w:hanging="720"/>
      </w:pPr>
      <w:rPr>
        <w:rFonts w:hint="default"/>
        <w:b/>
        <w:i/>
      </w:rPr>
    </w:lvl>
    <w:lvl w:ilvl="3">
      <w:start w:val="1"/>
      <w:numFmt w:val="decimal"/>
      <w:lvlText w:val="%1.%2.%3.%4."/>
      <w:lvlJc w:val="left"/>
      <w:pPr>
        <w:ind w:left="1080" w:hanging="108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440" w:hanging="1440"/>
      </w:pPr>
      <w:rPr>
        <w:rFonts w:hint="default"/>
        <w:b/>
        <w:i/>
      </w:rPr>
    </w:lvl>
    <w:lvl w:ilvl="6">
      <w:start w:val="1"/>
      <w:numFmt w:val="decimal"/>
      <w:lvlText w:val="%1.%2.%3.%4.%5.%6.%7."/>
      <w:lvlJc w:val="left"/>
      <w:pPr>
        <w:ind w:left="1440" w:hanging="1440"/>
      </w:pPr>
      <w:rPr>
        <w:rFonts w:hint="default"/>
        <w:b/>
        <w:i/>
      </w:rPr>
    </w:lvl>
    <w:lvl w:ilvl="7">
      <w:start w:val="1"/>
      <w:numFmt w:val="decimal"/>
      <w:lvlText w:val="%1.%2.%3.%4.%5.%6.%7.%8."/>
      <w:lvlJc w:val="left"/>
      <w:pPr>
        <w:ind w:left="1800" w:hanging="1800"/>
      </w:pPr>
      <w:rPr>
        <w:rFonts w:hint="default"/>
        <w:b/>
        <w:i/>
      </w:rPr>
    </w:lvl>
    <w:lvl w:ilvl="8">
      <w:start w:val="1"/>
      <w:numFmt w:val="decimal"/>
      <w:lvlText w:val="%1.%2.%3.%4.%5.%6.%7.%8.%9."/>
      <w:lvlJc w:val="left"/>
      <w:pPr>
        <w:ind w:left="2160" w:hanging="2160"/>
      </w:pPr>
      <w:rPr>
        <w:rFonts w:hint="default"/>
        <w:b/>
        <w:i/>
      </w:rPr>
    </w:lvl>
  </w:abstractNum>
  <w:abstractNum w:abstractNumId="12" w15:restartNumberingAfterBreak="0">
    <w:nsid w:val="5B691112"/>
    <w:multiLevelType w:val="multilevel"/>
    <w:tmpl w:val="E2E2A1E0"/>
    <w:lvl w:ilvl="0">
      <w:start w:val="1"/>
      <w:numFmt w:val="decimal"/>
      <w:lvlText w:val="%1."/>
      <w:lvlJc w:val="left"/>
      <w:pPr>
        <w:ind w:left="360" w:hanging="360"/>
      </w:pPr>
      <w:rPr>
        <w:rFonts w:hint="default"/>
        <w:b/>
      </w:rPr>
    </w:lvl>
    <w:lvl w:ilvl="1">
      <w:start w:val="1"/>
      <w:numFmt w:val="decimal"/>
      <w:lvlText w:val="%1.%2."/>
      <w:lvlJc w:val="left"/>
      <w:pPr>
        <w:ind w:left="792" w:hanging="432"/>
      </w:pPr>
      <w:rPr>
        <w:rFonts w:ascii="Arial" w:hAnsi="Arial" w:cs="Arial"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13" w15:restartNumberingAfterBreak="0">
    <w:nsid w:val="5F5A473D"/>
    <w:multiLevelType w:val="multilevel"/>
    <w:tmpl w:val="EADA40D8"/>
    <w:lvl w:ilvl="0">
      <w:start w:val="1"/>
      <w:numFmt w:val="decimal"/>
      <w:lvlText w:val="%1."/>
      <w:lvlJc w:val="left"/>
      <w:pPr>
        <w:ind w:left="720" w:hanging="360"/>
      </w:pPr>
      <w:rPr>
        <w:rFonts w:hint="default"/>
        <w:b/>
        <w:i w:val="0"/>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60754439"/>
    <w:multiLevelType w:val="hybridMultilevel"/>
    <w:tmpl w:val="D756AE4E"/>
    <w:lvl w:ilvl="0" w:tplc="2DEAD2AE">
      <w:start w:val="3"/>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9C46516"/>
    <w:multiLevelType w:val="hybridMultilevel"/>
    <w:tmpl w:val="7518A1B0"/>
    <w:lvl w:ilvl="0" w:tplc="E6CE15B8">
      <w:start w:val="1"/>
      <w:numFmt w:val="bullet"/>
      <w:lvlText w:val="-"/>
      <w:lvlJc w:val="left"/>
      <w:pPr>
        <w:ind w:left="1380" w:hanging="360"/>
      </w:pPr>
      <w:rPr>
        <w:rFonts w:ascii="Arial" w:hAnsi="Arial" w:hint="default"/>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16" w15:restartNumberingAfterBreak="0">
    <w:nsid w:val="743B4314"/>
    <w:multiLevelType w:val="multilevel"/>
    <w:tmpl w:val="3A703AFC"/>
    <w:lvl w:ilvl="0">
      <w:start w:val="1"/>
      <w:numFmt w:val="bullet"/>
      <w:lvlText w:val="-"/>
      <w:lvlJc w:val="left"/>
      <w:pPr>
        <w:ind w:left="720" w:hanging="360"/>
      </w:pPr>
      <w:rPr>
        <w:rFonts w:ascii="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6"/>
  </w:num>
  <w:num w:numId="2">
    <w:abstractNumId w:val="7"/>
  </w:num>
  <w:num w:numId="3">
    <w:abstractNumId w:val="0"/>
  </w:num>
  <w:num w:numId="4">
    <w:abstractNumId w:val="1"/>
  </w:num>
  <w:num w:numId="5">
    <w:abstractNumId w:val="10"/>
  </w:num>
  <w:num w:numId="6">
    <w:abstractNumId w:val="12"/>
  </w:num>
  <w:num w:numId="7">
    <w:abstractNumId w:val="6"/>
  </w:num>
  <w:num w:numId="8">
    <w:abstractNumId w:val="2"/>
  </w:num>
  <w:num w:numId="9">
    <w:abstractNumId w:val="15"/>
  </w:num>
  <w:num w:numId="10">
    <w:abstractNumId w:val="9"/>
  </w:num>
  <w:num w:numId="11">
    <w:abstractNumId w:val="5"/>
  </w:num>
  <w:num w:numId="12">
    <w:abstractNumId w:val="11"/>
  </w:num>
  <w:num w:numId="13">
    <w:abstractNumId w:val="13"/>
  </w:num>
  <w:num w:numId="14">
    <w:abstractNumId w:val="14"/>
  </w:num>
  <w:num w:numId="15">
    <w:abstractNumId w:val="4"/>
  </w:num>
  <w:num w:numId="16">
    <w:abstractNumId w:val="3"/>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12B"/>
    <w:rsid w:val="000134A9"/>
    <w:rsid w:val="000508EF"/>
    <w:rsid w:val="000A3345"/>
    <w:rsid w:val="000C26DE"/>
    <w:rsid w:val="000C6554"/>
    <w:rsid w:val="00103C42"/>
    <w:rsid w:val="00116AFA"/>
    <w:rsid w:val="00121498"/>
    <w:rsid w:val="00133B59"/>
    <w:rsid w:val="001424D6"/>
    <w:rsid w:val="001532D0"/>
    <w:rsid w:val="001718FD"/>
    <w:rsid w:val="0017563A"/>
    <w:rsid w:val="001771F9"/>
    <w:rsid w:val="001A1160"/>
    <w:rsid w:val="002426BD"/>
    <w:rsid w:val="00246B77"/>
    <w:rsid w:val="002A68A6"/>
    <w:rsid w:val="002B20A9"/>
    <w:rsid w:val="002E4943"/>
    <w:rsid w:val="00326200"/>
    <w:rsid w:val="003408B3"/>
    <w:rsid w:val="003A014A"/>
    <w:rsid w:val="003D1776"/>
    <w:rsid w:val="00476CEC"/>
    <w:rsid w:val="004B41C6"/>
    <w:rsid w:val="004F13CF"/>
    <w:rsid w:val="005122FA"/>
    <w:rsid w:val="0053612B"/>
    <w:rsid w:val="00571B73"/>
    <w:rsid w:val="005822C2"/>
    <w:rsid w:val="005F583D"/>
    <w:rsid w:val="005F5CD1"/>
    <w:rsid w:val="00626E0F"/>
    <w:rsid w:val="00634187"/>
    <w:rsid w:val="00643D11"/>
    <w:rsid w:val="0067731A"/>
    <w:rsid w:val="00680041"/>
    <w:rsid w:val="00684332"/>
    <w:rsid w:val="006A2305"/>
    <w:rsid w:val="006B1682"/>
    <w:rsid w:val="006D1566"/>
    <w:rsid w:val="006E390A"/>
    <w:rsid w:val="007055C7"/>
    <w:rsid w:val="007110B0"/>
    <w:rsid w:val="007275B1"/>
    <w:rsid w:val="0077193A"/>
    <w:rsid w:val="00772C44"/>
    <w:rsid w:val="007845EA"/>
    <w:rsid w:val="007A7764"/>
    <w:rsid w:val="007C35A8"/>
    <w:rsid w:val="00826640"/>
    <w:rsid w:val="00837873"/>
    <w:rsid w:val="0084040C"/>
    <w:rsid w:val="00857478"/>
    <w:rsid w:val="00860F2B"/>
    <w:rsid w:val="00875770"/>
    <w:rsid w:val="0089178E"/>
    <w:rsid w:val="00893F38"/>
    <w:rsid w:val="008E2217"/>
    <w:rsid w:val="008E5053"/>
    <w:rsid w:val="008F477F"/>
    <w:rsid w:val="008F72C8"/>
    <w:rsid w:val="00903796"/>
    <w:rsid w:val="00907220"/>
    <w:rsid w:val="00977ADB"/>
    <w:rsid w:val="00981A78"/>
    <w:rsid w:val="009D1A0F"/>
    <w:rsid w:val="009D7A17"/>
    <w:rsid w:val="009E0FEA"/>
    <w:rsid w:val="00A30FA0"/>
    <w:rsid w:val="00A61AC9"/>
    <w:rsid w:val="00A76AD3"/>
    <w:rsid w:val="00AB4BAE"/>
    <w:rsid w:val="00AD38CA"/>
    <w:rsid w:val="00AE4C7A"/>
    <w:rsid w:val="00AF5BC9"/>
    <w:rsid w:val="00B01E20"/>
    <w:rsid w:val="00B13C1A"/>
    <w:rsid w:val="00B2660B"/>
    <w:rsid w:val="00B850C9"/>
    <w:rsid w:val="00B92318"/>
    <w:rsid w:val="00C17A52"/>
    <w:rsid w:val="00C33076"/>
    <w:rsid w:val="00C44650"/>
    <w:rsid w:val="00C67037"/>
    <w:rsid w:val="00C8311A"/>
    <w:rsid w:val="00CA5A3D"/>
    <w:rsid w:val="00CA5D1C"/>
    <w:rsid w:val="00CB5AF5"/>
    <w:rsid w:val="00CB6093"/>
    <w:rsid w:val="00CC0053"/>
    <w:rsid w:val="00D15825"/>
    <w:rsid w:val="00D545E4"/>
    <w:rsid w:val="00D760A4"/>
    <w:rsid w:val="00D97177"/>
    <w:rsid w:val="00DB7B0E"/>
    <w:rsid w:val="00DC48AF"/>
    <w:rsid w:val="00DE299A"/>
    <w:rsid w:val="00E32F53"/>
    <w:rsid w:val="00E51C64"/>
    <w:rsid w:val="00E5600F"/>
    <w:rsid w:val="00E63874"/>
    <w:rsid w:val="00EA0C7A"/>
    <w:rsid w:val="00EB71AD"/>
    <w:rsid w:val="00EE1F69"/>
    <w:rsid w:val="00EF2338"/>
    <w:rsid w:val="00EF28B0"/>
    <w:rsid w:val="00F03BC8"/>
    <w:rsid w:val="00F06AF1"/>
    <w:rsid w:val="00F074C8"/>
    <w:rsid w:val="00F13990"/>
    <w:rsid w:val="00F742B6"/>
    <w:rsid w:val="00F874D4"/>
    <w:rsid w:val="00F979EE"/>
    <w:rsid w:val="00FA2E0B"/>
    <w:rsid w:val="00FA75C8"/>
    <w:rsid w:val="00FE716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BE04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1776"/>
    <w:pPr>
      <w:spacing w:after="160" w:line="259" w:lineRule="auto"/>
      <w:ind w:left="708"/>
    </w:pPr>
    <w:rPr>
      <w:sz w:val="24"/>
      <w:szCs w:val="24"/>
    </w:rPr>
  </w:style>
  <w:style w:type="paragraph" w:styleId="Titre1">
    <w:name w:val="heading 1"/>
    <w:basedOn w:val="Normal"/>
    <w:next w:val="Normal"/>
    <w:link w:val="Titre1Car"/>
    <w:uiPriority w:val="9"/>
    <w:qFormat/>
    <w:rsid w:val="0084040C"/>
    <w:pPr>
      <w:keepNext/>
      <w:spacing w:before="240" w:after="60"/>
      <w:outlineLvl w:val="0"/>
    </w:pPr>
    <w:rPr>
      <w:rFonts w:eastAsia="Times New Roman"/>
      <w:b/>
      <w:bCs/>
      <w:kern w:val="32"/>
      <w:sz w:val="32"/>
      <w:szCs w:val="32"/>
    </w:rPr>
  </w:style>
  <w:style w:type="paragraph" w:styleId="Titre2">
    <w:name w:val="heading 2"/>
    <w:basedOn w:val="Normal"/>
    <w:next w:val="Normal"/>
    <w:link w:val="Titre2Car"/>
    <w:uiPriority w:val="9"/>
    <w:unhideWhenUsed/>
    <w:qFormat/>
    <w:rsid w:val="0084040C"/>
    <w:pPr>
      <w:keepNext/>
      <w:spacing w:before="240" w:after="60"/>
      <w:outlineLvl w:val="1"/>
    </w:pPr>
    <w:rPr>
      <w:rFonts w:eastAsia="Times New Roman"/>
      <w:b/>
      <w:bCs/>
      <w:i/>
      <w:iCs/>
      <w:sz w:val="28"/>
      <w:szCs w:val="28"/>
    </w:rPr>
  </w:style>
  <w:style w:type="paragraph" w:styleId="Titre3">
    <w:name w:val="heading 3"/>
    <w:basedOn w:val="Normal"/>
    <w:next w:val="Normal"/>
    <w:link w:val="Titre3Car"/>
    <w:uiPriority w:val="9"/>
    <w:unhideWhenUsed/>
    <w:qFormat/>
    <w:rsid w:val="0084040C"/>
    <w:pPr>
      <w:keepNext/>
      <w:spacing w:before="240" w:after="60"/>
      <w:outlineLvl w:val="2"/>
    </w:pPr>
    <w:rPr>
      <w:rFonts w:eastAsia="Times New Roman"/>
      <w:b/>
      <w:bCs/>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3612B"/>
    <w:pPr>
      <w:tabs>
        <w:tab w:val="center" w:pos="4536"/>
        <w:tab w:val="right" w:pos="9072"/>
      </w:tabs>
      <w:spacing w:after="0" w:line="240" w:lineRule="auto"/>
      <w:ind w:left="0"/>
    </w:pPr>
    <w:rPr>
      <w:rFonts w:ascii="Calibri" w:hAnsi="Calibri"/>
    </w:rPr>
  </w:style>
  <w:style w:type="character" w:customStyle="1" w:styleId="En-tteCar">
    <w:name w:val="En-tête Car"/>
    <w:basedOn w:val="Policepardfaut"/>
    <w:link w:val="En-tte"/>
    <w:uiPriority w:val="99"/>
    <w:rsid w:val="0053612B"/>
  </w:style>
  <w:style w:type="paragraph" w:styleId="Pieddepage">
    <w:name w:val="footer"/>
    <w:basedOn w:val="Normal"/>
    <w:link w:val="PieddepageCar"/>
    <w:uiPriority w:val="99"/>
    <w:unhideWhenUsed/>
    <w:rsid w:val="0053612B"/>
    <w:pPr>
      <w:tabs>
        <w:tab w:val="center" w:pos="4536"/>
        <w:tab w:val="right" w:pos="9072"/>
      </w:tabs>
      <w:spacing w:after="0" w:line="240" w:lineRule="auto"/>
      <w:ind w:left="0"/>
    </w:pPr>
    <w:rPr>
      <w:rFonts w:ascii="Calibri" w:hAnsi="Calibri"/>
    </w:rPr>
  </w:style>
  <w:style w:type="character" w:customStyle="1" w:styleId="PieddepageCar">
    <w:name w:val="Pied de page Car"/>
    <w:basedOn w:val="Policepardfaut"/>
    <w:link w:val="Pieddepage"/>
    <w:uiPriority w:val="99"/>
    <w:rsid w:val="0053612B"/>
  </w:style>
  <w:style w:type="paragraph" w:customStyle="1" w:styleId="consignes">
    <w:name w:val="(!)consignes"/>
    <w:basedOn w:val="Normal"/>
    <w:link w:val="consignesCar"/>
    <w:qFormat/>
    <w:rsid w:val="0053612B"/>
    <w:pPr>
      <w:spacing w:after="0" w:line="240" w:lineRule="auto"/>
      <w:ind w:left="1572" w:right="-20"/>
    </w:pPr>
    <w:rPr>
      <w:rFonts w:ascii="Calibri" w:hAnsi="Calibri" w:cs="Calibri"/>
      <w:color w:val="231F20"/>
      <w:sz w:val="18"/>
    </w:rPr>
  </w:style>
  <w:style w:type="character" w:customStyle="1" w:styleId="consignesCar">
    <w:name w:val="(!)consignes Car"/>
    <w:link w:val="consignes"/>
    <w:rsid w:val="0053612B"/>
    <w:rPr>
      <w:rFonts w:ascii="Calibri" w:eastAsia="Calibri" w:hAnsi="Calibri" w:cs="Calibri"/>
      <w:color w:val="231F20"/>
      <w:sz w:val="18"/>
    </w:rPr>
  </w:style>
  <w:style w:type="table" w:styleId="Grilledutableau">
    <w:name w:val="Table Grid"/>
    <w:basedOn w:val="TableauNormal"/>
    <w:uiPriority w:val="39"/>
    <w:rsid w:val="00B01E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TetePiedsDePage">
    <w:name w:val="(!)EnTetePiedsDePage"/>
    <w:basedOn w:val="Pieddepage"/>
    <w:link w:val="EnTetePiedsDePageCar"/>
    <w:qFormat/>
    <w:rsid w:val="001424D6"/>
    <w:pPr>
      <w:spacing w:before="40" w:after="40"/>
      <w:jc w:val="right"/>
    </w:pPr>
    <w:rPr>
      <w:rFonts w:ascii="Arial" w:hAnsi="Arial" w:cs="Arial"/>
      <w:sz w:val="18"/>
    </w:rPr>
  </w:style>
  <w:style w:type="character" w:customStyle="1" w:styleId="EnTetePiedsDePageCar">
    <w:name w:val="(!)EnTetePiedsDePage Car"/>
    <w:link w:val="EnTetePiedsDePage"/>
    <w:rsid w:val="001424D6"/>
    <w:rPr>
      <w:rFonts w:ascii="Arial" w:hAnsi="Arial" w:cs="Arial"/>
      <w:sz w:val="18"/>
    </w:rPr>
  </w:style>
  <w:style w:type="character" w:customStyle="1" w:styleId="Titre1Car">
    <w:name w:val="Titre 1 Car"/>
    <w:link w:val="Titre1"/>
    <w:uiPriority w:val="9"/>
    <w:rsid w:val="0084040C"/>
    <w:rPr>
      <w:rFonts w:eastAsia="Times New Roman" w:cs="Times New Roman"/>
      <w:b/>
      <w:bCs/>
      <w:kern w:val="32"/>
      <w:sz w:val="32"/>
      <w:szCs w:val="32"/>
    </w:rPr>
  </w:style>
  <w:style w:type="character" w:customStyle="1" w:styleId="Titre2Car">
    <w:name w:val="Titre 2 Car"/>
    <w:link w:val="Titre2"/>
    <w:uiPriority w:val="9"/>
    <w:rsid w:val="0084040C"/>
    <w:rPr>
      <w:rFonts w:eastAsia="Times New Roman" w:cs="Times New Roman"/>
      <w:b/>
      <w:bCs/>
      <w:i/>
      <w:iCs/>
      <w:sz w:val="28"/>
      <w:szCs w:val="28"/>
    </w:rPr>
  </w:style>
  <w:style w:type="character" w:customStyle="1" w:styleId="Titre3Car">
    <w:name w:val="Titre 3 Car"/>
    <w:link w:val="Titre3"/>
    <w:uiPriority w:val="9"/>
    <w:rsid w:val="0084040C"/>
    <w:rPr>
      <w:rFonts w:eastAsia="Times New Roman" w:cs="Times New Roman"/>
      <w:b/>
      <w:bCs/>
      <w:szCs w:val="26"/>
    </w:rPr>
  </w:style>
  <w:style w:type="paragraph" w:styleId="Textedebulles">
    <w:name w:val="Balloon Text"/>
    <w:basedOn w:val="Normal"/>
    <w:link w:val="TextedebullesCar"/>
    <w:uiPriority w:val="99"/>
    <w:semiHidden/>
    <w:unhideWhenUsed/>
    <w:rsid w:val="00AF5BC9"/>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AF5BC9"/>
    <w:rPr>
      <w:rFonts w:ascii="Tahoma" w:hAnsi="Tahoma" w:cs="Tahoma"/>
      <w:sz w:val="16"/>
      <w:szCs w:val="16"/>
    </w:rPr>
  </w:style>
  <w:style w:type="table" w:customStyle="1" w:styleId="Grilledutableau1">
    <w:name w:val="Grille du tableau1"/>
    <w:basedOn w:val="TableauNormal"/>
    <w:next w:val="Grilledutableau"/>
    <w:uiPriority w:val="59"/>
    <w:rsid w:val="00DE299A"/>
    <w:rPr>
      <w:rFonts w:ascii="Times New Roman" w:eastAsia="SimSu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Lienhypertexte">
    <w:name w:val="Hyperlink"/>
    <w:basedOn w:val="Policepardfaut"/>
    <w:uiPriority w:val="99"/>
    <w:unhideWhenUsed/>
    <w:rsid w:val="006D1566"/>
    <w:rPr>
      <w:color w:val="0000FF" w:themeColor="hyperlink"/>
      <w:u w:val="single"/>
    </w:rPr>
  </w:style>
  <w:style w:type="character" w:styleId="Mentionnonrsolue">
    <w:name w:val="Unresolved Mention"/>
    <w:basedOn w:val="Policepardfaut"/>
    <w:uiPriority w:val="99"/>
    <w:semiHidden/>
    <w:unhideWhenUsed/>
    <w:rsid w:val="006D15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7115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labolycee.or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665</Words>
  <Characters>3658</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4315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2020-03-16T13:34:00Z</dcterms:created>
  <dcterms:modified xsi:type="dcterms:W3CDTF">2020-03-16T13:38:00Z</dcterms:modified>
</cp:coreProperties>
</file>