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FE01A2" w14:paraId="039C410A" w14:textId="77777777" w:rsidTr="00D57427">
        <w:tc>
          <w:tcPr>
            <w:tcW w:w="10201" w:type="dxa"/>
          </w:tcPr>
          <w:p w14:paraId="7CDE9F90" w14:textId="77777777" w:rsidR="00577639" w:rsidRPr="00FE01A2" w:rsidRDefault="00730F81" w:rsidP="00D57427">
            <w:pPr>
              <w:jc w:val="center"/>
              <w:rPr>
                <w:rFonts w:eastAsia="Times New Roman" w:cs="Arial"/>
                <w:b/>
                <w:color w:val="595959" w:themeColor="text1" w:themeTint="A6"/>
                <w:sz w:val="24"/>
                <w:szCs w:val="24"/>
              </w:rPr>
            </w:pPr>
            <w:r>
              <w:fldChar w:fldCharType="begin"/>
            </w:r>
            <w:r>
              <w:instrText xml:space="preserve"> HYPERLINK "http://labolycee.org" </w:instrText>
            </w:r>
            <w:r>
              <w:fldChar w:fldCharType="separate"/>
            </w:r>
            <w:r w:rsidR="00577639" w:rsidRPr="00FE01A2">
              <w:rPr>
                <w:rStyle w:val="Lienhypertexte"/>
                <w:rFonts w:eastAsia="Times New Roman" w:cs="Arial"/>
                <w:b/>
                <w:sz w:val="24"/>
                <w:szCs w:val="24"/>
              </w:rPr>
              <w:t>http://labolycee.org</w:t>
            </w:r>
            <w:r>
              <w:rPr>
                <w:rStyle w:val="Lienhypertexte"/>
                <w:rFonts w:cs="Arial"/>
                <w:b/>
                <w:szCs w:val="24"/>
              </w:rPr>
              <w:fldChar w:fldCharType="end"/>
            </w:r>
            <w:r w:rsidR="00577639" w:rsidRPr="00FE01A2">
              <w:rPr>
                <w:rFonts w:eastAsia="Times New Roman" w:cs="Arial"/>
                <w:b/>
                <w:sz w:val="24"/>
                <w:szCs w:val="24"/>
              </w:rPr>
              <w:t xml:space="preserve"> ÉPREUVES COMMUNES DE CONTRÔLE CONTINU</w:t>
            </w:r>
          </w:p>
        </w:tc>
      </w:tr>
      <w:tr w:rsidR="00577639" w:rsidRPr="00FE01A2" w14:paraId="4B7DCAF8" w14:textId="77777777" w:rsidTr="00D57427">
        <w:tc>
          <w:tcPr>
            <w:tcW w:w="10201" w:type="dxa"/>
          </w:tcPr>
          <w:p w14:paraId="1C77DB8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D57427">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bl>
    <w:p w14:paraId="3156C68E" w14:textId="77777777" w:rsidR="00115175" w:rsidRPr="00833196" w:rsidRDefault="00115175" w:rsidP="00115175">
      <w:pPr>
        <w:jc w:val="center"/>
        <w:rPr>
          <w:rFonts w:cs="Arial"/>
          <w:bCs/>
          <w:u w:val="single"/>
        </w:rPr>
      </w:pPr>
      <w:r w:rsidRPr="00833196">
        <w:rPr>
          <w:rFonts w:cs="Arial"/>
          <w:bCs/>
          <w:u w:val="single"/>
        </w:rPr>
        <w:t>Un poison radioactif</w:t>
      </w:r>
    </w:p>
    <w:p w14:paraId="690BF460" w14:textId="77777777" w:rsidR="00115175" w:rsidRPr="00265FCE" w:rsidRDefault="00115175" w:rsidP="00115175">
      <w:pPr>
        <w:jc w:val="center"/>
        <w:rPr>
          <w:rFonts w:cs="Arial"/>
          <w:bCs/>
          <w:i/>
          <w:iCs/>
        </w:rPr>
      </w:pPr>
    </w:p>
    <w:p w14:paraId="0AAAE8F6" w14:textId="77777777" w:rsidR="00115175" w:rsidRPr="00265FCE" w:rsidRDefault="00115175" w:rsidP="00115175">
      <w:pPr>
        <w:rPr>
          <w:rFonts w:cs="Arial"/>
          <w:bCs/>
        </w:rPr>
      </w:pPr>
      <w:r w:rsidRPr="00265FCE">
        <w:rPr>
          <w:rFonts w:cs="Arial"/>
          <w:bCs/>
        </w:rPr>
        <w:t>Un écrivain vous contacte pour achever un roman d’espionnage … suspens</w:t>
      </w:r>
      <w:r>
        <w:rPr>
          <w:rFonts w:cs="Arial"/>
          <w:bCs/>
        </w:rPr>
        <w:t>e</w:t>
      </w:r>
      <w:r w:rsidRPr="00265FCE">
        <w:rPr>
          <w:rFonts w:cs="Arial"/>
          <w:bCs/>
        </w:rPr>
        <w:t> !</w:t>
      </w:r>
    </w:p>
    <w:p w14:paraId="59B7CFED" w14:textId="77777777" w:rsidR="00115175" w:rsidRPr="00833196" w:rsidRDefault="00115175" w:rsidP="00115175">
      <w:pPr>
        <w:rPr>
          <w:rFonts w:cs="Arial"/>
        </w:rPr>
      </w:pPr>
      <w:r w:rsidRPr="00833196">
        <w:rPr>
          <w:rFonts w:cs="Arial"/>
        </w:rPr>
        <w:t xml:space="preserve"> </w:t>
      </w:r>
    </w:p>
    <w:tbl>
      <w:tblPr>
        <w:tblStyle w:val="Grilledutableau"/>
        <w:tblW w:w="10201" w:type="dxa"/>
        <w:tblLook w:val="04A0" w:firstRow="1" w:lastRow="0" w:firstColumn="1" w:lastColumn="0" w:noHBand="0" w:noVBand="1"/>
      </w:tblPr>
      <w:tblGrid>
        <w:gridCol w:w="10201"/>
      </w:tblGrid>
      <w:tr w:rsidR="00115175" w:rsidRPr="004E1AAE" w14:paraId="40B20D7B" w14:textId="77777777" w:rsidTr="00B918F5">
        <w:tc>
          <w:tcPr>
            <w:tcW w:w="10201" w:type="dxa"/>
          </w:tcPr>
          <w:p w14:paraId="7BB09787" w14:textId="77777777" w:rsidR="00115175" w:rsidRPr="00833196" w:rsidRDefault="00115175" w:rsidP="00E13DCA">
            <w:pPr>
              <w:rPr>
                <w:rFonts w:cs="Arial"/>
                <w:bCs/>
              </w:rPr>
            </w:pPr>
            <w:r w:rsidRPr="00833196">
              <w:rPr>
                <w:rFonts w:cs="Arial"/>
                <w:bCs/>
              </w:rPr>
              <w:t>Document 1 : lettre de l’écrivain à votre attention</w:t>
            </w:r>
          </w:p>
        </w:tc>
      </w:tr>
      <w:tr w:rsidR="00115175" w:rsidRPr="004E1AAE" w14:paraId="0C7422EA" w14:textId="77777777" w:rsidTr="00B918F5">
        <w:tc>
          <w:tcPr>
            <w:tcW w:w="10201" w:type="dxa"/>
          </w:tcPr>
          <w:p w14:paraId="09BBEFD8" w14:textId="77777777" w:rsidR="00115175" w:rsidRPr="00833196" w:rsidRDefault="00115175" w:rsidP="00E13DCA">
            <w:pPr>
              <w:rPr>
                <w:rFonts w:cs="Arial"/>
              </w:rPr>
            </w:pPr>
          </w:p>
          <w:p w14:paraId="09ECE1E0" w14:textId="77777777" w:rsidR="00115175" w:rsidRPr="00833196" w:rsidRDefault="00115175" w:rsidP="00D716F7">
            <w:pPr>
              <w:spacing w:after="120"/>
              <w:jc w:val="both"/>
              <w:rPr>
                <w:rFonts w:cs="Arial"/>
              </w:rPr>
            </w:pPr>
            <w:r w:rsidRPr="00833196">
              <w:rPr>
                <w:rFonts w:cs="Arial"/>
              </w:rPr>
              <w:t xml:space="preserve">Bonjour, je suis Jules </w:t>
            </w:r>
            <w:proofErr w:type="spellStart"/>
            <w:r w:rsidRPr="00833196">
              <w:rPr>
                <w:rFonts w:cs="Arial"/>
              </w:rPr>
              <w:t>Servadac</w:t>
            </w:r>
            <w:proofErr w:type="spellEnd"/>
            <w:r w:rsidRPr="00833196">
              <w:rPr>
                <w:rFonts w:cs="Arial"/>
              </w:rPr>
              <w:t xml:space="preserve">, écrivain de roman policier. Je vous sollicite afin de valider quelques aspects scientifiques de mon roman. </w:t>
            </w:r>
          </w:p>
          <w:p w14:paraId="5FA20EE3" w14:textId="77777777" w:rsidR="00115175" w:rsidRPr="00833196" w:rsidRDefault="00115175" w:rsidP="00E13DCA">
            <w:pPr>
              <w:spacing w:after="120"/>
              <w:rPr>
                <w:rFonts w:cs="Arial"/>
              </w:rPr>
            </w:pPr>
            <w:r w:rsidRPr="00833196">
              <w:rPr>
                <w:rFonts w:cs="Arial"/>
              </w:rPr>
              <w:t xml:space="preserve">Voici mes premières lignes : </w:t>
            </w:r>
          </w:p>
          <w:p w14:paraId="6722035D" w14:textId="77777777" w:rsidR="00115175" w:rsidRPr="00833196" w:rsidRDefault="00115175" w:rsidP="00D716F7">
            <w:pPr>
              <w:spacing w:after="120"/>
              <w:jc w:val="both"/>
              <w:rPr>
                <w:rFonts w:cs="Arial"/>
              </w:rPr>
            </w:pPr>
            <w:r w:rsidRPr="00833196">
              <w:rPr>
                <w:rFonts w:cs="Arial"/>
              </w:rPr>
              <w:t>« Pierre et Marie Curie ont découvert le polonium, juste avant le radium qui les rendit célèbres. Le polonium-210 (</w:t>
            </w:r>
            <w:r w:rsidRPr="00833196">
              <w:rPr>
                <w:rFonts w:cs="Arial"/>
                <w:vertAlign w:val="superscript"/>
              </w:rPr>
              <w:t>210</w:t>
            </w:r>
            <w:r w:rsidRPr="00833196">
              <w:rPr>
                <w:rFonts w:cs="Arial"/>
              </w:rPr>
              <w:t>Po) est mille fois plus toxique que le plutonium, et un million de fois plus encore que le cyanure. Sachez que dix microgrammes (µg) sont nécessaires pour empoisonner un homme de poids moyen en quelques semaines et que cette dose mortelle est invisible à l’œil nu. »</w:t>
            </w:r>
          </w:p>
          <w:p w14:paraId="1EE7EC04" w14:textId="77777777" w:rsidR="00115175" w:rsidRPr="00833196" w:rsidRDefault="00115175" w:rsidP="00D716F7">
            <w:pPr>
              <w:spacing w:after="120"/>
              <w:jc w:val="both"/>
              <w:rPr>
                <w:rFonts w:cs="Arial"/>
              </w:rPr>
            </w:pPr>
            <w:r w:rsidRPr="00833196">
              <w:rPr>
                <w:rFonts w:cs="Arial"/>
              </w:rPr>
              <w:t xml:space="preserve">Dans mon roman, Tiago, agent secret de </w:t>
            </w:r>
            <w:proofErr w:type="spellStart"/>
            <w:r w:rsidRPr="00833196">
              <w:rPr>
                <w:rFonts w:cs="Arial"/>
              </w:rPr>
              <w:t>Folivie</w:t>
            </w:r>
            <w:proofErr w:type="spellEnd"/>
            <w:r w:rsidRPr="00833196">
              <w:rPr>
                <w:rFonts w:cs="Arial"/>
              </w:rPr>
              <w:t xml:space="preserve">, souhaite s’en servir pour éliminer un agent infiltré. Celui-ci dîne tous les soirs dans le même restaurant : l’agent secret compte en profiter pour « poivrer » à sa façon son dîner. </w:t>
            </w:r>
          </w:p>
          <w:p w14:paraId="42561824" w14:textId="77777777" w:rsidR="00115175" w:rsidRPr="00833196" w:rsidRDefault="00115175" w:rsidP="00D716F7">
            <w:pPr>
              <w:spacing w:after="120"/>
              <w:jc w:val="both"/>
              <w:rPr>
                <w:rFonts w:cs="Arial"/>
              </w:rPr>
            </w:pPr>
            <w:r w:rsidRPr="00833196">
              <w:rPr>
                <w:rFonts w:cs="Arial"/>
              </w:rPr>
              <w:t>Pour cela, Tiago doit se procurer du polonium-210. Pour des raisons logistiques, il ne peut récupérer le polonium que 100 jours avant le dîner programmé dans un autre pays. Or le polonium perd la moitié de sa radioactivité tous les 138 jours.</w:t>
            </w:r>
          </w:p>
          <w:p w14:paraId="7BE8E9E0" w14:textId="77777777" w:rsidR="00115175" w:rsidRPr="00833196" w:rsidRDefault="00115175" w:rsidP="00D716F7">
            <w:pPr>
              <w:spacing w:after="120"/>
              <w:jc w:val="both"/>
              <w:rPr>
                <w:rFonts w:cs="Arial"/>
              </w:rPr>
            </w:pPr>
            <w:r w:rsidRPr="00833196">
              <w:rPr>
                <w:rFonts w:cs="Arial"/>
              </w:rPr>
              <w:t>J’ai deux problèmes à vous soumettre concernant la quantité de polonium que Tiago doit transporter :</w:t>
            </w:r>
          </w:p>
          <w:p w14:paraId="31613D8C" w14:textId="77777777" w:rsidR="00115175" w:rsidRPr="00833196" w:rsidRDefault="00115175" w:rsidP="00115175">
            <w:pPr>
              <w:pStyle w:val="Paragraphedeliste"/>
              <w:numPr>
                <w:ilvl w:val="0"/>
                <w:numId w:val="4"/>
              </w:numPr>
              <w:spacing w:after="120" w:line="240" w:lineRule="auto"/>
              <w:rPr>
                <w:rFonts w:ascii="Arial" w:hAnsi="Arial" w:cs="Arial"/>
                <w:sz w:val="24"/>
                <w:szCs w:val="24"/>
              </w:rPr>
            </w:pPr>
            <w:r w:rsidRPr="00833196">
              <w:rPr>
                <w:rFonts w:ascii="Arial" w:hAnsi="Arial" w:cs="Arial"/>
                <w:sz w:val="24"/>
                <w:szCs w:val="24"/>
              </w:rPr>
              <w:t>Restera-t-il suffisamment de Polonium-210 radioactif à la fin de son voyage ?</w:t>
            </w:r>
          </w:p>
          <w:p w14:paraId="7A82F168" w14:textId="77777777" w:rsidR="00115175" w:rsidRPr="00833196" w:rsidRDefault="00115175" w:rsidP="00115175">
            <w:pPr>
              <w:pStyle w:val="Paragraphedeliste"/>
              <w:numPr>
                <w:ilvl w:val="0"/>
                <w:numId w:val="4"/>
              </w:numPr>
              <w:spacing w:after="120" w:line="240" w:lineRule="auto"/>
              <w:rPr>
                <w:rFonts w:ascii="Arial" w:hAnsi="Arial" w:cs="Arial"/>
                <w:sz w:val="24"/>
                <w:szCs w:val="24"/>
              </w:rPr>
            </w:pPr>
            <w:r w:rsidRPr="00833196">
              <w:rPr>
                <w:rFonts w:ascii="Arial" w:hAnsi="Arial" w:cs="Arial"/>
                <w:sz w:val="24"/>
                <w:szCs w:val="24"/>
              </w:rPr>
              <w:t xml:space="preserve">La dose sera-t-elle invisible à l’œil nu ? </w:t>
            </w:r>
          </w:p>
        </w:tc>
      </w:tr>
    </w:tbl>
    <w:p w14:paraId="5E6C0F7F" w14:textId="77777777" w:rsidR="00115175" w:rsidRPr="00833196" w:rsidRDefault="00115175" w:rsidP="00115175">
      <w:pPr>
        <w:rPr>
          <w:rFonts w:cs="Arial"/>
        </w:rPr>
      </w:pPr>
    </w:p>
    <w:tbl>
      <w:tblPr>
        <w:tblStyle w:val="Grilledutableau"/>
        <w:tblW w:w="10201" w:type="dxa"/>
        <w:tblLook w:val="04A0" w:firstRow="1" w:lastRow="0" w:firstColumn="1" w:lastColumn="0" w:noHBand="0" w:noVBand="1"/>
      </w:tblPr>
      <w:tblGrid>
        <w:gridCol w:w="10201"/>
      </w:tblGrid>
      <w:tr w:rsidR="00115175" w:rsidRPr="004E1AAE" w14:paraId="4EBB4E1A" w14:textId="77777777" w:rsidTr="00D716F7">
        <w:tc>
          <w:tcPr>
            <w:tcW w:w="10201" w:type="dxa"/>
          </w:tcPr>
          <w:p w14:paraId="729B6695" w14:textId="77777777" w:rsidR="00115175" w:rsidRPr="00833196" w:rsidRDefault="00115175" w:rsidP="00E13DCA">
            <w:pPr>
              <w:rPr>
                <w:rFonts w:cs="Arial"/>
                <w:bCs/>
              </w:rPr>
            </w:pPr>
            <w:r w:rsidRPr="00833196">
              <w:rPr>
                <w:rFonts w:cs="Arial"/>
                <w:bCs/>
              </w:rPr>
              <w:t>Document 2 : données relatives au polonium</w:t>
            </w:r>
          </w:p>
        </w:tc>
      </w:tr>
      <w:tr w:rsidR="00115175" w:rsidRPr="004E1AAE" w14:paraId="1362C98C" w14:textId="77777777" w:rsidTr="00D716F7">
        <w:tc>
          <w:tcPr>
            <w:tcW w:w="10201" w:type="dxa"/>
          </w:tcPr>
          <w:p w14:paraId="02B00B8C" w14:textId="77777777" w:rsidR="00115175" w:rsidRPr="00833196" w:rsidRDefault="00115175" w:rsidP="00E13DCA">
            <w:pPr>
              <w:rPr>
                <w:rFonts w:cs="Arial"/>
              </w:rPr>
            </w:pPr>
          </w:p>
          <w:p w14:paraId="36B7B401" w14:textId="77777777" w:rsidR="00115175" w:rsidRPr="00265FCE" w:rsidRDefault="00115175" w:rsidP="00D716F7">
            <w:pPr>
              <w:spacing w:after="120"/>
              <w:jc w:val="both"/>
              <w:rPr>
                <w:rFonts w:cs="Arial"/>
              </w:rPr>
            </w:pPr>
            <w:r w:rsidRPr="00833196">
              <w:rPr>
                <w:rFonts w:cs="Arial"/>
              </w:rPr>
              <w:t xml:space="preserve">Le polonium est un des rares </w:t>
            </w:r>
            <w:r w:rsidRPr="00265FCE">
              <w:rPr>
                <w:rFonts w:cs="Arial"/>
              </w:rPr>
              <w:t>éléments à cristalliser dans le réseau cubique simple.</w:t>
            </w:r>
          </w:p>
          <w:p w14:paraId="40816268" w14:textId="77777777" w:rsidR="00115175" w:rsidRPr="00265FCE" w:rsidRDefault="00115175" w:rsidP="00E13DCA">
            <w:pPr>
              <w:spacing w:after="120"/>
              <w:rPr>
                <w:rFonts w:cs="Arial"/>
              </w:rPr>
            </w:pPr>
            <w:r w:rsidRPr="00265FCE">
              <w:rPr>
                <w:rFonts w:cs="Arial"/>
              </w:rPr>
              <w:t>Paramètre de maille : a = 3,359 x 10</w:t>
            </w:r>
            <w:r w:rsidRPr="00265FCE">
              <w:rPr>
                <w:rFonts w:cs="Arial"/>
                <w:vertAlign w:val="superscript"/>
              </w:rPr>
              <w:t>-10</w:t>
            </w:r>
            <w:r w:rsidRPr="00265FCE">
              <w:rPr>
                <w:rFonts w:cs="Arial"/>
              </w:rPr>
              <w:t xml:space="preserve"> m</w:t>
            </w:r>
          </w:p>
          <w:p w14:paraId="3EA90AAB" w14:textId="77777777" w:rsidR="00115175" w:rsidRPr="00265FCE" w:rsidRDefault="00115175" w:rsidP="00E13DCA">
            <w:pPr>
              <w:spacing w:after="120"/>
              <w:rPr>
                <w:rFonts w:cs="Arial"/>
                <w:vertAlign w:val="superscript"/>
              </w:rPr>
            </w:pPr>
            <w:r w:rsidRPr="00265FCE">
              <w:rPr>
                <w:rFonts w:cs="Arial"/>
              </w:rPr>
              <w:t>Masse molaire du polonium : M(Po) = 209,98 g</w:t>
            </w:r>
            <w:r>
              <w:rPr>
                <w:rFonts w:cs="Arial"/>
              </w:rPr>
              <w:t>∙</w:t>
            </w:r>
            <w:r w:rsidRPr="00265FCE">
              <w:rPr>
                <w:rFonts w:cs="Arial"/>
              </w:rPr>
              <w:t>mol</w:t>
            </w:r>
            <w:r w:rsidRPr="00265FCE">
              <w:rPr>
                <w:rFonts w:cs="Arial"/>
                <w:vertAlign w:val="superscript"/>
              </w:rPr>
              <w:t>-1</w:t>
            </w:r>
          </w:p>
          <w:p w14:paraId="760B289F" w14:textId="77777777" w:rsidR="00115175" w:rsidRDefault="00115175" w:rsidP="00E13DCA">
            <w:pPr>
              <w:spacing w:after="120"/>
              <w:rPr>
                <w:rFonts w:cs="Arial"/>
                <w:vertAlign w:val="subscript"/>
              </w:rPr>
            </w:pPr>
            <w:r w:rsidRPr="00265FCE">
              <w:rPr>
                <w:rFonts w:cs="Arial"/>
              </w:rPr>
              <w:t>Donnée complémentaire : nombre d’Avogadro N</w:t>
            </w:r>
            <w:r w:rsidRPr="00265FCE">
              <w:rPr>
                <w:rFonts w:cs="Arial"/>
                <w:vertAlign w:val="subscript"/>
              </w:rPr>
              <w:t>A</w:t>
            </w:r>
            <w:r w:rsidRPr="00265FCE">
              <w:rPr>
                <w:rFonts w:cs="Arial"/>
              </w:rPr>
              <w:t xml:space="preserve"> = 6,022 x 10</w:t>
            </w:r>
            <w:r w:rsidRPr="00265FCE">
              <w:rPr>
                <w:rFonts w:cs="Arial"/>
                <w:vertAlign w:val="superscript"/>
              </w:rPr>
              <w:t>23</w:t>
            </w:r>
            <w:r w:rsidRPr="00265FCE">
              <w:rPr>
                <w:rFonts w:cs="Arial"/>
              </w:rPr>
              <w:t xml:space="preserve"> mol</w:t>
            </w:r>
            <w:r w:rsidRPr="00265FCE">
              <w:rPr>
                <w:rFonts w:cs="Arial"/>
                <w:vertAlign w:val="superscript"/>
              </w:rPr>
              <w:t>-1</w:t>
            </w:r>
          </w:p>
          <w:p w14:paraId="2522482F" w14:textId="77777777" w:rsidR="00115175" w:rsidRDefault="00115175" w:rsidP="00E13DCA">
            <w:pPr>
              <w:spacing w:after="120"/>
              <w:rPr>
                <w:vertAlign w:val="subscript"/>
              </w:rPr>
            </w:pPr>
          </w:p>
          <w:p w14:paraId="2F38069F" w14:textId="77777777" w:rsidR="00115175" w:rsidRPr="00833196" w:rsidRDefault="00115175" w:rsidP="00E13DCA">
            <w:pPr>
              <w:spacing w:after="120"/>
              <w:rPr>
                <w:rFonts w:cs="Arial"/>
                <w:vertAlign w:val="subscript"/>
              </w:rPr>
            </w:pPr>
            <w:r w:rsidRPr="00833196">
              <w:rPr>
                <w:rFonts w:cs="Arial"/>
              </w:rPr>
              <w:t>Il est rappelé que la masse molaire d’un élément est la masse d’une mole de quan</w:t>
            </w:r>
            <w:r>
              <w:rPr>
                <w:rFonts w:cs="Arial"/>
              </w:rPr>
              <w:t>t</w:t>
            </w:r>
            <w:r w:rsidRPr="00833196">
              <w:rPr>
                <w:rFonts w:cs="Arial"/>
              </w:rPr>
              <w:t xml:space="preserve">ité de matière de cet élément </w:t>
            </w:r>
          </w:p>
        </w:tc>
      </w:tr>
    </w:tbl>
    <w:p w14:paraId="4FDAB3C9" w14:textId="77777777" w:rsidR="00115175" w:rsidRPr="00833196" w:rsidRDefault="00115175" w:rsidP="00115175">
      <w:pPr>
        <w:rPr>
          <w:rFonts w:cs="Arial"/>
        </w:rPr>
      </w:pPr>
    </w:p>
    <w:p w14:paraId="0FC254BF" w14:textId="77777777" w:rsidR="00115175" w:rsidRPr="00CE18B9" w:rsidRDefault="00115175" w:rsidP="00115175">
      <w:pPr>
        <w:pStyle w:val="Titre1"/>
        <w:jc w:val="both"/>
        <w:rPr>
          <w:rFonts w:cs="Arial"/>
          <w:sz w:val="24"/>
          <w:szCs w:val="24"/>
        </w:rPr>
      </w:pPr>
      <w:r w:rsidRPr="00CE18B9">
        <w:rPr>
          <w:rFonts w:cs="Arial"/>
          <w:sz w:val="24"/>
          <w:szCs w:val="24"/>
        </w:rPr>
        <w:t>Partie 1 : la radioactivité du polonium</w:t>
      </w:r>
    </w:p>
    <w:p w14:paraId="1D8D5E20" w14:textId="77777777" w:rsidR="00115175" w:rsidRDefault="00115175" w:rsidP="00115175">
      <w:pPr>
        <w:jc w:val="both"/>
        <w:rPr>
          <w:rFonts w:cs="Arial"/>
        </w:rPr>
      </w:pPr>
      <w:r w:rsidRPr="00833196">
        <w:rPr>
          <w:rFonts w:cs="Arial"/>
        </w:rPr>
        <w:t xml:space="preserve">L’objectif est ici de vérifier qu’en partant avec 20 µg de polonium-210, il restera suffisamment de polonium radioactif à l’issue du voyage. </w:t>
      </w:r>
    </w:p>
    <w:p w14:paraId="5360B50F" w14:textId="77777777" w:rsidR="00115175" w:rsidRPr="00833196" w:rsidRDefault="00115175" w:rsidP="00115175">
      <w:pPr>
        <w:jc w:val="both"/>
        <w:rPr>
          <w:rFonts w:cs="Arial"/>
        </w:rPr>
      </w:pPr>
    </w:p>
    <w:p w14:paraId="400EEC92" w14:textId="77777777" w:rsidR="00115175" w:rsidRPr="00833196" w:rsidRDefault="00115175" w:rsidP="00837DFA">
      <w:pPr>
        <w:spacing w:after="120"/>
        <w:jc w:val="both"/>
        <w:rPr>
          <w:rFonts w:cs="Arial"/>
          <w:bCs/>
        </w:rPr>
      </w:pPr>
      <w:r>
        <w:rPr>
          <w:rFonts w:cs="Arial"/>
          <w:bCs/>
        </w:rPr>
        <w:t xml:space="preserve">1- </w:t>
      </w:r>
      <w:r>
        <w:rPr>
          <w:rFonts w:cs="Arial"/>
        </w:rPr>
        <w:t xml:space="preserve">Déterminer en </w:t>
      </w:r>
      <w:r w:rsidRPr="00EB235B">
        <w:rPr>
          <w:rFonts w:cs="Arial"/>
        </w:rPr>
        <w:t>µg</w:t>
      </w:r>
      <w:r>
        <w:rPr>
          <w:rFonts w:cs="Arial"/>
        </w:rPr>
        <w:t xml:space="preserve"> la masse initiale de Polonium présente dans l’échantillon utilisé pour réaliser le graphique du document 1. </w:t>
      </w:r>
    </w:p>
    <w:p w14:paraId="02F9804D" w14:textId="77777777" w:rsidR="00115175" w:rsidRPr="00833196" w:rsidRDefault="00115175" w:rsidP="00837DFA">
      <w:pPr>
        <w:spacing w:after="120"/>
        <w:jc w:val="both"/>
        <w:rPr>
          <w:rFonts w:cs="Arial"/>
        </w:rPr>
      </w:pPr>
      <w:r>
        <w:rPr>
          <w:rFonts w:cs="Arial"/>
        </w:rPr>
        <w:t xml:space="preserve">2- </w:t>
      </w:r>
      <w:r w:rsidRPr="00833196">
        <w:rPr>
          <w:rFonts w:cs="Arial"/>
        </w:rPr>
        <w:t xml:space="preserve">Jules </w:t>
      </w:r>
      <w:proofErr w:type="spellStart"/>
      <w:r w:rsidRPr="00833196">
        <w:rPr>
          <w:rFonts w:cs="Arial"/>
        </w:rPr>
        <w:t>Servadac</w:t>
      </w:r>
      <w:proofErr w:type="spellEnd"/>
      <w:r w:rsidRPr="00833196">
        <w:rPr>
          <w:rFonts w:cs="Arial"/>
        </w:rPr>
        <w:t xml:space="preserve"> écrit dans son roman : « Le polonium perd la moitié de sa radioactivité tous les 138 jours ».</w:t>
      </w:r>
    </w:p>
    <w:p w14:paraId="15D59127" w14:textId="77777777" w:rsidR="00115175" w:rsidRDefault="00115175" w:rsidP="00837DFA">
      <w:pPr>
        <w:spacing w:after="120"/>
        <w:jc w:val="both"/>
        <w:rPr>
          <w:rFonts w:cs="Arial"/>
        </w:rPr>
      </w:pPr>
      <w:r w:rsidRPr="00330716">
        <w:rPr>
          <w:rFonts w:cs="Arial"/>
          <w:bCs/>
        </w:rPr>
        <w:t>2-a-</w:t>
      </w:r>
      <w:r w:rsidRPr="00330716">
        <w:rPr>
          <w:rFonts w:cs="Arial"/>
        </w:rPr>
        <w:t xml:space="preserve"> </w:t>
      </w:r>
      <w:r>
        <w:rPr>
          <w:rFonts w:cs="Arial"/>
        </w:rPr>
        <w:t>Définir scientifiquement la grandeur physique sur laquelle il appuie cette affirmation, en donnant son nom</w:t>
      </w:r>
      <w:r w:rsidRPr="00330716">
        <w:rPr>
          <w:rFonts w:cs="Arial"/>
        </w:rPr>
        <w:t>.</w:t>
      </w:r>
    </w:p>
    <w:p w14:paraId="324E1775" w14:textId="77777777" w:rsidR="00115175" w:rsidRPr="00833196" w:rsidRDefault="00115175" w:rsidP="00837DFA">
      <w:pPr>
        <w:spacing w:after="120"/>
        <w:jc w:val="both"/>
        <w:rPr>
          <w:rFonts w:cs="Arial"/>
        </w:rPr>
      </w:pPr>
      <w:r w:rsidRPr="00833196">
        <w:rPr>
          <w:rFonts w:cs="Arial"/>
          <w:bCs/>
        </w:rPr>
        <w:t>2-b-</w:t>
      </w:r>
      <w:r w:rsidRPr="00833196">
        <w:rPr>
          <w:rFonts w:cs="Arial"/>
        </w:rPr>
        <w:t xml:space="preserve"> La faire figurer sur le graphique du document réponse à rendre avec la copie en laissant apparents les traits de construction. </w:t>
      </w:r>
    </w:p>
    <w:p w14:paraId="4659B1E2" w14:textId="77777777" w:rsidR="00115175" w:rsidRPr="00833196" w:rsidRDefault="00115175" w:rsidP="00115175">
      <w:pPr>
        <w:jc w:val="both"/>
      </w:pPr>
      <w:r>
        <w:rPr>
          <w:rFonts w:cs="Arial"/>
        </w:rPr>
        <w:t xml:space="preserve">3- </w:t>
      </w:r>
      <w:r w:rsidRPr="00833196">
        <w:rPr>
          <w:rFonts w:cs="Arial"/>
        </w:rPr>
        <w:t xml:space="preserve">Justifier, par la méthode de votre choix, que </w:t>
      </w:r>
      <w:r>
        <w:rPr>
          <w:rFonts w:cs="Arial"/>
        </w:rPr>
        <w:t>pour l’échantillon considéré l</w:t>
      </w:r>
      <w:r w:rsidRPr="00833196">
        <w:rPr>
          <w:rFonts w:cs="Arial"/>
        </w:rPr>
        <w:t xml:space="preserve">a quantité de polonium restant après le voyage sera suffisante pour accomplir la mission. </w:t>
      </w:r>
    </w:p>
    <w:p w14:paraId="7A0A053D" w14:textId="29207CED" w:rsidR="00837DFA" w:rsidRDefault="00837DFA">
      <w:pPr>
        <w:rPr>
          <w:rFonts w:cs="Arial"/>
        </w:rPr>
      </w:pPr>
      <w:r>
        <w:rPr>
          <w:rFonts w:cs="Arial"/>
        </w:rPr>
        <w:br w:type="page"/>
      </w:r>
    </w:p>
    <w:p w14:paraId="5E6549DE" w14:textId="77777777" w:rsidR="00115175" w:rsidRPr="00833196" w:rsidRDefault="00115175" w:rsidP="00115175">
      <w:pPr>
        <w:jc w:val="both"/>
        <w:rPr>
          <w:rFonts w:cs="Arial"/>
        </w:rPr>
      </w:pPr>
    </w:p>
    <w:p w14:paraId="6D77E2B4" w14:textId="77777777" w:rsidR="00115175" w:rsidRPr="00833196" w:rsidRDefault="00115175" w:rsidP="0011517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rPr>
      </w:pPr>
      <w:r w:rsidRPr="00833196">
        <w:rPr>
          <w:rFonts w:cs="Arial"/>
        </w:rPr>
        <w:t>Document 3 : courbe de décroissance radioactive du polonium</w:t>
      </w:r>
    </w:p>
    <w:p w14:paraId="2B4102D0" w14:textId="77777777" w:rsidR="00115175" w:rsidRPr="00833196" w:rsidRDefault="00115175" w:rsidP="0011517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rPr>
      </w:pPr>
      <w:r w:rsidRPr="00833196">
        <w:rPr>
          <w:rFonts w:cs="Arial"/>
          <w:noProof/>
        </w:rPr>
        <w:drawing>
          <wp:inline distT="0" distB="0" distL="0" distR="0" wp14:anchorId="0218FD5C" wp14:editId="13BC6FB7">
            <wp:extent cx="5795890" cy="3362179"/>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159CEE" w14:textId="77777777" w:rsidR="00115175" w:rsidRPr="00833196" w:rsidRDefault="00115175" w:rsidP="00115175">
      <w:pPr>
        <w:tabs>
          <w:tab w:val="left" w:pos="6735"/>
        </w:tabs>
        <w:jc w:val="both"/>
        <w:rPr>
          <w:rFonts w:cs="Arial"/>
        </w:rPr>
      </w:pPr>
      <w:r>
        <w:rPr>
          <w:rFonts w:cs="Arial"/>
        </w:rPr>
        <w:tab/>
      </w:r>
    </w:p>
    <w:p w14:paraId="70325F94" w14:textId="77777777" w:rsidR="00115175" w:rsidRPr="00CE18B9" w:rsidRDefault="00115175" w:rsidP="00115175">
      <w:pPr>
        <w:pStyle w:val="Titre1"/>
        <w:jc w:val="both"/>
        <w:rPr>
          <w:rFonts w:cs="Arial"/>
          <w:sz w:val="24"/>
          <w:szCs w:val="24"/>
        </w:rPr>
      </w:pPr>
      <w:r w:rsidRPr="00CE18B9">
        <w:rPr>
          <w:rFonts w:cs="Arial"/>
          <w:sz w:val="24"/>
          <w:szCs w:val="24"/>
        </w:rPr>
        <w:t>Partie 2 : la structure du polonium</w:t>
      </w:r>
    </w:p>
    <w:p w14:paraId="57899A30" w14:textId="77777777" w:rsidR="00115175" w:rsidRPr="00833196" w:rsidRDefault="00115175" w:rsidP="00115175">
      <w:pPr>
        <w:jc w:val="both"/>
        <w:rPr>
          <w:rFonts w:cs="Arial"/>
        </w:rPr>
      </w:pPr>
      <w:r w:rsidRPr="00833196">
        <w:rPr>
          <w:rFonts w:cs="Arial"/>
        </w:rPr>
        <w:t xml:space="preserve"> </w:t>
      </w:r>
    </w:p>
    <w:p w14:paraId="54ED1328" w14:textId="77777777" w:rsidR="00115175" w:rsidRPr="00833196" w:rsidRDefault="00115175" w:rsidP="00115175">
      <w:pPr>
        <w:jc w:val="both"/>
        <w:rPr>
          <w:rFonts w:cs="Arial"/>
        </w:rPr>
      </w:pPr>
      <w:r w:rsidRPr="00833196">
        <w:rPr>
          <w:rFonts w:cs="Arial"/>
        </w:rPr>
        <w:t xml:space="preserve">L’objectif est ici de vérifier que les 10 µg de polonium dont Tiago a besoin pour empoisonner l’agent infiltré sont bien invisibles à l’œil nu. </w:t>
      </w:r>
    </w:p>
    <w:p w14:paraId="2604B8B4" w14:textId="77777777" w:rsidR="00115175" w:rsidRPr="00833196" w:rsidRDefault="00115175" w:rsidP="00115175">
      <w:pPr>
        <w:jc w:val="both"/>
        <w:rPr>
          <w:rFonts w:cs="Arial"/>
        </w:rPr>
      </w:pPr>
    </w:p>
    <w:p w14:paraId="1E2E9CB2" w14:textId="77777777" w:rsidR="00115175" w:rsidRDefault="00115175" w:rsidP="00115175">
      <w:pPr>
        <w:jc w:val="both"/>
        <w:rPr>
          <w:rFonts w:cs="Arial"/>
        </w:rPr>
      </w:pPr>
      <w:r>
        <w:rPr>
          <w:rFonts w:cs="Arial"/>
        </w:rPr>
        <w:t xml:space="preserve">4- </w:t>
      </w:r>
      <w:r w:rsidRPr="00311A83">
        <w:rPr>
          <w:rFonts w:cs="Arial"/>
        </w:rPr>
        <w:t>À partir de vos connaissances et des informations apportées par le document 1, répondre aux questions suivantes :</w:t>
      </w:r>
    </w:p>
    <w:p w14:paraId="7D3E2131" w14:textId="77777777" w:rsidR="00115175" w:rsidRPr="00311A83" w:rsidRDefault="00115175" w:rsidP="00115175">
      <w:pPr>
        <w:jc w:val="both"/>
        <w:rPr>
          <w:rFonts w:cs="Arial"/>
        </w:rPr>
      </w:pPr>
    </w:p>
    <w:p w14:paraId="538C4E69" w14:textId="77777777" w:rsidR="00115175" w:rsidRPr="00833196" w:rsidRDefault="00115175" w:rsidP="00115175">
      <w:pPr>
        <w:jc w:val="both"/>
        <w:rPr>
          <w:rFonts w:cs="Arial"/>
        </w:rPr>
      </w:pPr>
      <w:r w:rsidRPr="00833196">
        <w:rPr>
          <w:rFonts w:cs="Arial"/>
          <w:bCs/>
        </w:rPr>
        <w:t>4-a-</w:t>
      </w:r>
      <w:r w:rsidRPr="00833196">
        <w:rPr>
          <w:rFonts w:cs="Arial"/>
        </w:rPr>
        <w:t xml:space="preserve"> Représenter la structure cubique simple du polonium en perspective cavalière.</w:t>
      </w:r>
    </w:p>
    <w:p w14:paraId="48A8E47E" w14:textId="77777777" w:rsidR="00115175" w:rsidRDefault="00115175" w:rsidP="00115175">
      <w:pPr>
        <w:jc w:val="both"/>
        <w:rPr>
          <w:rFonts w:cs="Arial"/>
          <w:bCs/>
        </w:rPr>
      </w:pPr>
    </w:p>
    <w:p w14:paraId="12528128" w14:textId="77777777" w:rsidR="00115175" w:rsidRPr="00833196" w:rsidRDefault="00115175" w:rsidP="00115175">
      <w:pPr>
        <w:jc w:val="both"/>
        <w:rPr>
          <w:rFonts w:cs="Arial"/>
        </w:rPr>
      </w:pPr>
      <w:r w:rsidRPr="00833196">
        <w:rPr>
          <w:rFonts w:cs="Arial"/>
          <w:bCs/>
        </w:rPr>
        <w:t>4-b-</w:t>
      </w:r>
      <w:r w:rsidRPr="00833196">
        <w:rPr>
          <w:rFonts w:cs="Arial"/>
        </w:rPr>
        <w:t xml:space="preserve"> Dénombrer, en indiquant les calculs effectués, les atomes par maille.</w:t>
      </w:r>
    </w:p>
    <w:p w14:paraId="023184AC" w14:textId="77777777" w:rsidR="00115175" w:rsidRPr="00833196" w:rsidRDefault="00115175" w:rsidP="00115175">
      <w:pPr>
        <w:ind w:left="360"/>
        <w:jc w:val="both"/>
        <w:rPr>
          <w:rFonts w:cs="Arial"/>
        </w:rPr>
      </w:pPr>
    </w:p>
    <w:p w14:paraId="40BB633F" w14:textId="77777777" w:rsidR="00115175" w:rsidRPr="00833196" w:rsidRDefault="00115175" w:rsidP="00115175">
      <w:pPr>
        <w:jc w:val="both"/>
        <w:rPr>
          <w:rFonts w:cs="Arial"/>
        </w:rPr>
      </w:pPr>
      <w:r w:rsidRPr="5B60DADB">
        <w:rPr>
          <w:rFonts w:cs="Arial"/>
        </w:rPr>
        <w:t>5- Montrer que la masse volumique du polonium est de 9,20 x 10</w:t>
      </w:r>
      <w:r w:rsidRPr="5B60DADB">
        <w:rPr>
          <w:rFonts w:cs="Arial"/>
          <w:vertAlign w:val="superscript"/>
        </w:rPr>
        <w:t>6</w:t>
      </w:r>
      <w:r w:rsidRPr="5B60DADB">
        <w:rPr>
          <w:rFonts w:cs="Arial"/>
        </w:rPr>
        <w:t xml:space="preserve"> g.m</w:t>
      </w:r>
      <w:r w:rsidRPr="5B60DADB">
        <w:rPr>
          <w:rFonts w:cs="Arial"/>
          <w:vertAlign w:val="superscript"/>
        </w:rPr>
        <w:t>-</w:t>
      </w:r>
      <w:proofErr w:type="gramStart"/>
      <w:r w:rsidRPr="5B60DADB">
        <w:rPr>
          <w:rFonts w:cs="Arial"/>
          <w:vertAlign w:val="superscript"/>
        </w:rPr>
        <w:t>3</w:t>
      </w:r>
      <w:r w:rsidRPr="5B60DADB">
        <w:rPr>
          <w:rFonts w:cs="Arial"/>
        </w:rPr>
        <w:t xml:space="preserve"> .</w:t>
      </w:r>
      <w:proofErr w:type="gramEnd"/>
    </w:p>
    <w:p w14:paraId="6FDB3A88" w14:textId="77777777" w:rsidR="00115175" w:rsidRPr="00833196" w:rsidRDefault="00115175" w:rsidP="00115175">
      <w:pPr>
        <w:pStyle w:val="Paragraphedeliste"/>
        <w:spacing w:after="0" w:line="240" w:lineRule="auto"/>
        <w:ind w:left="360"/>
        <w:jc w:val="both"/>
        <w:rPr>
          <w:rFonts w:ascii="Arial" w:hAnsi="Arial" w:cs="Arial"/>
          <w:sz w:val="24"/>
          <w:szCs w:val="24"/>
        </w:rPr>
      </w:pPr>
    </w:p>
    <w:p w14:paraId="486171A9" w14:textId="77777777" w:rsidR="00115175" w:rsidRDefault="00115175" w:rsidP="00115175">
      <w:pPr>
        <w:jc w:val="both"/>
        <w:rPr>
          <w:rFonts w:cs="Arial"/>
        </w:rPr>
      </w:pPr>
      <w:r w:rsidRPr="5B60DADB">
        <w:rPr>
          <w:rFonts w:cs="Arial"/>
        </w:rPr>
        <w:t>6- Comparaison avec la taille d’un grain de poivre.</w:t>
      </w:r>
    </w:p>
    <w:p w14:paraId="5D523CC8" w14:textId="77777777" w:rsidR="00115175" w:rsidRDefault="00115175" w:rsidP="00115175">
      <w:pPr>
        <w:jc w:val="both"/>
        <w:rPr>
          <w:rFonts w:cs="Arial"/>
          <w:bCs/>
        </w:rPr>
      </w:pPr>
    </w:p>
    <w:p w14:paraId="36F29D13" w14:textId="77777777" w:rsidR="00115175" w:rsidRPr="00833196" w:rsidRDefault="00115175" w:rsidP="00115175">
      <w:pPr>
        <w:jc w:val="both"/>
        <w:rPr>
          <w:rFonts w:cs="Arial"/>
        </w:rPr>
      </w:pPr>
      <w:r w:rsidRPr="00833196">
        <w:rPr>
          <w:rFonts w:cs="Arial"/>
          <w:bCs/>
        </w:rPr>
        <w:t>6-a-</w:t>
      </w:r>
      <w:r w:rsidRPr="00833196">
        <w:rPr>
          <w:rFonts w:cs="Arial"/>
        </w:rPr>
        <w:t xml:space="preserve"> Calculer le volume occupé par la masse de polonium utilisée par Tiago (10 microgrammes).</w:t>
      </w:r>
    </w:p>
    <w:p w14:paraId="1480A245" w14:textId="77777777" w:rsidR="00115175" w:rsidRDefault="00115175" w:rsidP="00115175">
      <w:pPr>
        <w:jc w:val="both"/>
        <w:rPr>
          <w:rFonts w:cs="Arial"/>
          <w:bCs/>
        </w:rPr>
      </w:pPr>
    </w:p>
    <w:p w14:paraId="25DDE5AB" w14:textId="77777777" w:rsidR="00115175" w:rsidRDefault="00115175" w:rsidP="00115175">
      <w:pPr>
        <w:jc w:val="both"/>
        <w:rPr>
          <w:rFonts w:cs="Arial"/>
        </w:rPr>
      </w:pPr>
      <w:r w:rsidRPr="00833196">
        <w:rPr>
          <w:rFonts w:cs="Arial"/>
          <w:bCs/>
        </w:rPr>
        <w:t>6-b-</w:t>
      </w:r>
      <w:r w:rsidRPr="00833196">
        <w:rPr>
          <w:rFonts w:cs="Arial"/>
        </w:rPr>
        <w:t xml:space="preserve"> Sachant qu’un grain de poivre broyé occupe un volume d’environ 10</w:t>
      </w:r>
      <w:r w:rsidRPr="00833196">
        <w:rPr>
          <w:rFonts w:cs="Arial"/>
          <w:vertAlign w:val="superscript"/>
        </w:rPr>
        <w:t>-10</w:t>
      </w:r>
      <w:r w:rsidRPr="00833196">
        <w:rPr>
          <w:rFonts w:cs="Arial"/>
        </w:rPr>
        <w:t xml:space="preserve"> m</w:t>
      </w:r>
      <w:r w:rsidRPr="00833196">
        <w:rPr>
          <w:rFonts w:cs="Arial"/>
          <w:vertAlign w:val="superscript"/>
        </w:rPr>
        <w:t>3</w:t>
      </w:r>
      <w:r w:rsidRPr="00833196">
        <w:rPr>
          <w:rFonts w:cs="Arial"/>
        </w:rPr>
        <w:t xml:space="preserve"> et est difficilement visible à l’œil nu, justifier que l’échantillon est invisible. </w:t>
      </w:r>
    </w:p>
    <w:p w14:paraId="4CC0983A" w14:textId="77777777" w:rsidR="00115175" w:rsidRDefault="00115175" w:rsidP="00115175">
      <w:pPr>
        <w:ind w:left="426"/>
        <w:jc w:val="center"/>
        <w:rPr>
          <w:rFonts w:cs="Arial"/>
        </w:rPr>
      </w:pPr>
    </w:p>
    <w:p w14:paraId="139CD160" w14:textId="77777777" w:rsidR="00115175" w:rsidRPr="00E25F2A" w:rsidRDefault="00115175" w:rsidP="00115175">
      <w:pPr>
        <w:rPr>
          <w:rFonts w:cs="Arial"/>
        </w:rPr>
      </w:pPr>
    </w:p>
    <w:p w14:paraId="346E10DC" w14:textId="3B6A40CE" w:rsidR="00214425" w:rsidRDefault="00214425">
      <w:pPr>
        <w:rPr>
          <w:rFonts w:cs="Arial"/>
          <w:szCs w:val="24"/>
        </w:rPr>
      </w:pPr>
      <w:r>
        <w:rPr>
          <w:rFonts w:cs="Arial"/>
          <w:szCs w:val="24"/>
        </w:rPr>
        <w:br w:type="page"/>
      </w:r>
    </w:p>
    <w:p w14:paraId="4EFF16C7" w14:textId="77777777" w:rsidR="00214425" w:rsidRPr="0029583A" w:rsidRDefault="00214425" w:rsidP="00214425">
      <w:pPr>
        <w:jc w:val="center"/>
        <w:rPr>
          <w:b/>
          <w:bCs/>
        </w:rPr>
      </w:pPr>
      <w:r w:rsidRPr="0029583A">
        <w:rPr>
          <w:b/>
          <w:bCs/>
        </w:rPr>
        <w:lastRenderedPageBreak/>
        <w:t>ANNEXE A RENDRE AVEC LA COPIE</w:t>
      </w:r>
    </w:p>
    <w:p w14:paraId="2B19B1ED" w14:textId="77777777" w:rsidR="00214425" w:rsidRDefault="00214425" w:rsidP="00214425"/>
    <w:p w14:paraId="13CB9E94" w14:textId="77777777" w:rsidR="00214425" w:rsidRDefault="00214425" w:rsidP="00214425"/>
    <w:p w14:paraId="058F4034" w14:textId="77777777" w:rsidR="00214425" w:rsidRDefault="00214425" w:rsidP="00214425"/>
    <w:p w14:paraId="37A855A1" w14:textId="77777777" w:rsidR="00214425" w:rsidRDefault="00214425" w:rsidP="00214425">
      <w:pPr>
        <w:ind w:left="-426"/>
        <w:jc w:val="center"/>
        <w:rPr>
          <w:rFonts w:cs="Arial"/>
        </w:rPr>
      </w:pPr>
      <w:r w:rsidRPr="00833196">
        <w:rPr>
          <w:rFonts w:cs="Arial"/>
          <w:noProof/>
        </w:rPr>
        <w:drawing>
          <wp:inline distT="0" distB="0" distL="0" distR="0" wp14:anchorId="18D5D944" wp14:editId="5EFCC5B1">
            <wp:extent cx="5664200" cy="4900246"/>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FE9E032" w14:textId="77777777" w:rsidR="00214425" w:rsidRPr="00833196" w:rsidRDefault="00214425" w:rsidP="00214425">
      <w:pPr>
        <w:ind w:left="426"/>
        <w:rPr>
          <w:rFonts w:cs="Arial"/>
        </w:rPr>
      </w:pPr>
    </w:p>
    <w:sectPr w:rsidR="00214425" w:rsidRPr="00833196"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9F35EE61-E538-40A5-8150-ED63AB1FFF0A}"/>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46C"/>
    <w:multiLevelType w:val="hybridMultilevel"/>
    <w:tmpl w:val="EE7C9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31891"/>
    <w:multiLevelType w:val="hybridMultilevel"/>
    <w:tmpl w:val="35BA6976"/>
    <w:lvl w:ilvl="0" w:tplc="6CC2E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A825FA"/>
    <w:multiLevelType w:val="hybridMultilevel"/>
    <w:tmpl w:val="ED94CD16"/>
    <w:lvl w:ilvl="0" w:tplc="F36401F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900FBB"/>
    <w:multiLevelType w:val="hybridMultilevel"/>
    <w:tmpl w:val="FC98D874"/>
    <w:lvl w:ilvl="0" w:tplc="5C161CD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15175"/>
    <w:rsid w:val="00127733"/>
    <w:rsid w:val="001B7A29"/>
    <w:rsid w:val="0021216B"/>
    <w:rsid w:val="00214425"/>
    <w:rsid w:val="00241FD9"/>
    <w:rsid w:val="00290B46"/>
    <w:rsid w:val="0030164E"/>
    <w:rsid w:val="00336093"/>
    <w:rsid w:val="00387C53"/>
    <w:rsid w:val="003B05DB"/>
    <w:rsid w:val="004061CB"/>
    <w:rsid w:val="004468F1"/>
    <w:rsid w:val="0045319B"/>
    <w:rsid w:val="005377FE"/>
    <w:rsid w:val="00577639"/>
    <w:rsid w:val="00595FA2"/>
    <w:rsid w:val="0059619F"/>
    <w:rsid w:val="006A36CD"/>
    <w:rsid w:val="00730F81"/>
    <w:rsid w:val="00837DFA"/>
    <w:rsid w:val="00874167"/>
    <w:rsid w:val="00902983"/>
    <w:rsid w:val="00985BBF"/>
    <w:rsid w:val="00986F51"/>
    <w:rsid w:val="00B21A0F"/>
    <w:rsid w:val="00B507E8"/>
    <w:rsid w:val="00B918F5"/>
    <w:rsid w:val="00C75385"/>
    <w:rsid w:val="00C96450"/>
    <w:rsid w:val="00CA0DF4"/>
    <w:rsid w:val="00CC0EF0"/>
    <w:rsid w:val="00D461E7"/>
    <w:rsid w:val="00D716F7"/>
    <w:rsid w:val="00EA5A16"/>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3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 w:type="paragraph" w:styleId="Paragraphedeliste">
    <w:name w:val="List Paragraph"/>
    <w:basedOn w:val="Normal"/>
    <w:uiPriority w:val="34"/>
    <w:qFormat/>
    <w:rsid w:val="00115175"/>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fr-FR" sz="1500" b="0" strike="noStrike" spc="-1">
                <a:solidFill>
                  <a:srgbClr val="000000"/>
                </a:solidFill>
                <a:latin typeface="Arial"/>
              </a:defRPr>
            </a:pPr>
            <a:r>
              <a:rPr lang="fr-FR" sz="1500" b="0" strike="noStrike" spc="-1">
                <a:solidFill>
                  <a:srgbClr val="000000"/>
                </a:solidFill>
                <a:latin typeface="Arial"/>
              </a:rPr>
              <a:t>Courbe de décroissance d'un</a:t>
            </a:r>
            <a:r>
              <a:rPr lang="fr-FR" sz="1500" b="0" strike="noStrike" spc="-1" baseline="0">
                <a:solidFill>
                  <a:srgbClr val="000000"/>
                </a:solidFill>
                <a:latin typeface="Arial"/>
              </a:rPr>
              <a:t> échantillon de </a:t>
            </a:r>
            <a:r>
              <a:rPr lang="fr-FR" sz="1500" b="0" strike="noStrike" spc="-1">
                <a:solidFill>
                  <a:srgbClr val="000000"/>
                </a:solidFill>
                <a:latin typeface="Arial"/>
              </a:rPr>
              <a:t> polonium 210</a:t>
            </a:r>
          </a:p>
        </c:rich>
      </c:tx>
      <c:overlay val="0"/>
      <c:spPr>
        <a:noFill/>
        <a:ln>
          <a:noFill/>
        </a:ln>
      </c:spPr>
    </c:title>
    <c:autoTitleDeleted val="0"/>
    <c:plotArea>
      <c:layout/>
      <c:scatterChart>
        <c:scatterStyle val="lineMarker"/>
        <c:varyColors val="0"/>
        <c:ser>
          <c:idx val="0"/>
          <c:order val="0"/>
          <c:tx>
            <c:strRef>
              <c:f>label 0</c:f>
              <c:strCache>
                <c:ptCount val="1"/>
                <c:pt idx="0">
                  <c:v>Colonne B</c:v>
                </c:pt>
              </c:strCache>
            </c:strRef>
          </c:tx>
          <c:spPr>
            <a:ln w="28800">
              <a:solidFill>
                <a:srgbClr val="000000"/>
              </a:solidFill>
              <a:round/>
            </a:ln>
          </c:spPr>
          <c:marker>
            <c:symbol val="square"/>
            <c:size val="3"/>
            <c:spPr>
              <a:solidFill>
                <a:srgbClr val="000000"/>
              </a:solidFill>
            </c:spPr>
          </c:marker>
          <c:dLbls>
            <c:spPr>
              <a:noFill/>
              <a:ln>
                <a:noFill/>
              </a:ln>
              <a:effectLst/>
            </c:spPr>
            <c:txPr>
              <a:bodyPr/>
              <a:lstStyle/>
              <a:p>
                <a:pPr>
                  <a:defRPr lang="fr-FR" sz="1000" b="0" strike="noStrike" spc="-1">
                    <a:solidFill>
                      <a:srgbClr val="000000"/>
                    </a:solidFill>
                    <a:latin typeface="Arial"/>
                  </a:defRPr>
                </a:pPr>
                <a:endParaRPr lang="fr-FR"/>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xVal>
            <c:numRef>
              <c:f>1</c:f>
              <c:numCache>
                <c:formatCode>General</c:formatCode>
                <c:ptCount val="52"/>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numCache>
            </c:numRef>
          </c:xVal>
          <c:yVal>
            <c:numRef>
              <c:f>0</c:f>
              <c:numCache>
                <c:formatCode>General</c:formatCode>
                <c:ptCount val="52"/>
                <c:pt idx="0">
                  <c:v>5.74</c:v>
                </c:pt>
                <c:pt idx="1">
                  <c:v>5.45880122795531</c:v>
                </c:pt>
                <c:pt idx="2">
                  <c:v>5.1913781962241003</c:v>
                </c:pt>
                <c:pt idx="3">
                  <c:v>4.9370560404753601</c:v>
                </c:pt>
                <c:pt idx="4">
                  <c:v>4.6951929575315399</c:v>
                </c:pt>
                <c:pt idx="5">
                  <c:v>4.4651785857247903</c:v>
                </c:pt>
                <c:pt idx="6">
                  <c:v>4.24643246459829</c:v>
                </c:pt>
                <c:pt idx="7">
                  <c:v>4.0384025700659301</c:v>
                </c:pt>
                <c:pt idx="8">
                  <c:v>3.84056392133341</c:v>
                </c:pt>
                <c:pt idx="9">
                  <c:v>3.6524172560654402</c:v>
                </c:pt>
                <c:pt idx="10">
                  <c:v>3.47348777045561</c:v>
                </c:pt>
                <c:pt idx="11">
                  <c:v>3.3033239210193099</c:v>
                </c:pt>
                <c:pt idx="12">
                  <c:v>3.1414962850861201</c:v>
                </c:pt>
                <c:pt idx="13">
                  <c:v>2.9875964771158801</c:v>
                </c:pt>
                <c:pt idx="14">
                  <c:v>2.84123611810368</c:v>
                </c:pt>
                <c:pt idx="15">
                  <c:v>2.7020458554730502</c:v>
                </c:pt>
                <c:pt idx="16">
                  <c:v>2.5696744309839401</c:v>
                </c:pt>
                <c:pt idx="17">
                  <c:v>2.44378779430322</c:v>
                </c:pt>
                <c:pt idx="18">
                  <c:v>2.3240682600008098</c:v>
                </c:pt>
                <c:pt idx="19">
                  <c:v>2.2102137058439602</c:v>
                </c:pt>
                <c:pt idx="20">
                  <c:v>2.10193681036667</c:v>
                </c:pt>
                <c:pt idx="21">
                  <c:v>1.9989643277899001</c:v>
                </c:pt>
                <c:pt idx="22">
                  <c:v>1.90103639846313</c:v>
                </c:pt>
                <c:pt idx="23">
                  <c:v>1.8079058930868099</c:v>
                </c:pt>
                <c:pt idx="24">
                  <c:v>1.71933778906096</c:v>
                </c:pt>
                <c:pt idx="25">
                  <c:v>1.6351085773860501</c:v>
                </c:pt>
                <c:pt idx="26">
                  <c:v>1.5550056986193701</c:v>
                </c:pt>
                <c:pt idx="27">
                  <c:v>1.47882700646358</c:v>
                </c:pt>
                <c:pt idx="28">
                  <c:v>1.4063802576336</c:v>
                </c:pt>
                <c:pt idx="29">
                  <c:v>1.3374826267147</c:v>
                </c:pt>
                <c:pt idx="30">
                  <c:v>1.2719602447873</c:v>
                </c:pt>
                <c:pt idx="31">
                  <c:v>1.20964776065422</c:v>
                </c:pt>
                <c:pt idx="32">
                  <c:v>1.15038792356318</c:v>
                </c:pt>
                <c:pt idx="33">
                  <c:v>1.0940311863713701</c:v>
                </c:pt>
                <c:pt idx="34">
                  <c:v>1.0404353281507699</c:v>
                </c:pt>
                <c:pt idx="35">
                  <c:v>0.98946509528179505</c:v>
                </c:pt>
                <c:pt idx="36">
                  <c:v>0.940991860129473</c:v>
                </c:pt>
                <c:pt idx="37">
                  <c:v>0.894893296440891</c:v>
                </c:pt>
                <c:pt idx="38">
                  <c:v>0.85105307064468805</c:v>
                </c:pt>
                <c:pt idx="39">
                  <c:v>0.80936054827358095</c:v>
                </c:pt>
                <c:pt idx="40">
                  <c:v>0.76971051476906005</c:v>
                </c:pt>
                <c:pt idx="41">
                  <c:v>0.73200290996366801</c:v>
                </c:pt>
                <c:pt idx="42">
                  <c:v>0.69614257557082404</c:v>
                </c:pt>
                <c:pt idx="43">
                  <c:v>0.662039015044945</c:v>
                </c:pt>
                <c:pt idx="44">
                  <c:v>0.62960616520586499</c:v>
                </c:pt>
                <c:pt idx="45">
                  <c:v>0.59876217905122098</c:v>
                </c:pt>
                <c:pt idx="46">
                  <c:v>0.56942921920871103</c:v>
                </c:pt>
                <c:pt idx="47">
                  <c:v>0.54153326150699299</c:v>
                </c:pt>
                <c:pt idx="48">
                  <c:v>0.51500390816951502</c:v>
                </c:pt>
                <c:pt idx="49">
                  <c:v>0.48977421015984901</c:v>
                </c:pt>
                <c:pt idx="50">
                  <c:v>0.465780498230213</c:v>
                </c:pt>
                <c:pt idx="51">
                  <c:v>0.44296222224681497</c:v>
                </c:pt>
              </c:numCache>
            </c:numRef>
          </c:yVal>
          <c:smooth val="0"/>
          <c:extLst>
            <c:ext xmlns:c16="http://schemas.microsoft.com/office/drawing/2014/chart" uri="{C3380CC4-5D6E-409C-BE32-E72D297353CC}">
              <c16:uniqueId val="{00000000-43D9-4F68-B9E9-587CCD676EB3}"/>
            </c:ext>
          </c:extLst>
        </c:ser>
        <c:dLbls>
          <c:showLegendKey val="0"/>
          <c:showVal val="0"/>
          <c:showCatName val="0"/>
          <c:showSerName val="0"/>
          <c:showPercent val="0"/>
          <c:showBubbleSize val="0"/>
        </c:dLbls>
        <c:axId val="257656704"/>
        <c:axId val="257659504"/>
      </c:scatterChart>
      <c:valAx>
        <c:axId val="257656704"/>
        <c:scaling>
          <c:orientation val="minMax"/>
          <c:max val="550"/>
          <c:min val="0"/>
        </c:scaling>
        <c:delete val="0"/>
        <c:axPos val="b"/>
        <c:title>
          <c:tx>
            <c:rich>
              <a:bodyPr rot="0"/>
              <a:lstStyle/>
              <a:p>
                <a:pPr>
                  <a:defRPr lang="fr-FR" sz="1300" b="0" strike="noStrike" spc="-1">
                    <a:solidFill>
                      <a:srgbClr val="000000"/>
                    </a:solidFill>
                    <a:latin typeface="Arial"/>
                  </a:defRPr>
                </a:pPr>
                <a:r>
                  <a:rPr lang="fr-FR" sz="1300" b="0" strike="noStrike" spc="-1">
                    <a:solidFill>
                      <a:srgbClr val="000000"/>
                    </a:solidFill>
                    <a:latin typeface="Arial"/>
                  </a:rPr>
                  <a:t>durée en jour</a:t>
                </a:r>
              </a:p>
            </c:rich>
          </c:tx>
          <c:layout>
            <c:manualLayout>
              <c:xMode val="edge"/>
              <c:yMode val="edge"/>
              <c:x val="0.79515580065224734"/>
              <c:y val="0.8743820224719101"/>
            </c:manualLayout>
          </c:layout>
          <c:overlay val="0"/>
          <c:spPr>
            <a:noFill/>
            <a:ln>
              <a:noFill/>
            </a:ln>
          </c:spPr>
        </c:title>
        <c:numFmt formatCode="General" sourceLinked="0"/>
        <c:majorTickMark val="out"/>
        <c:minorTickMark val="none"/>
        <c:tickLblPos val="nextTo"/>
        <c:spPr>
          <a:ln w="6480">
            <a:solidFill>
              <a:srgbClr val="B3B3B3"/>
            </a:solidFill>
            <a:round/>
          </a:ln>
        </c:spPr>
        <c:txPr>
          <a:bodyPr/>
          <a:lstStyle/>
          <a:p>
            <a:pPr>
              <a:defRPr lang="fr-FR" sz="1000" b="0" strike="noStrike" spc="-1">
                <a:solidFill>
                  <a:srgbClr val="000000"/>
                </a:solidFill>
                <a:latin typeface="Arial"/>
              </a:defRPr>
            </a:pPr>
            <a:endParaRPr lang="fr-FR"/>
          </a:p>
        </c:txPr>
        <c:crossAx val="257659504"/>
        <c:crosses val="autoZero"/>
        <c:crossBetween val="midCat"/>
        <c:majorUnit val="50"/>
      </c:valAx>
      <c:valAx>
        <c:axId val="257659504"/>
        <c:scaling>
          <c:orientation val="minMax"/>
        </c:scaling>
        <c:delete val="0"/>
        <c:axPos val="l"/>
        <c:majorGridlines>
          <c:spPr>
            <a:ln w="6480">
              <a:solidFill>
                <a:srgbClr val="B3B3B3"/>
              </a:solidFill>
              <a:round/>
            </a:ln>
          </c:spPr>
        </c:majorGridlines>
        <c:title>
          <c:tx>
            <c:rich>
              <a:bodyPr rot="-5400000"/>
              <a:lstStyle/>
              <a:p>
                <a:pPr>
                  <a:defRPr lang="fr-FR" sz="1300" b="0" strike="noStrike" spc="-1">
                    <a:solidFill>
                      <a:srgbClr val="000000"/>
                    </a:solidFill>
                    <a:latin typeface="Arial"/>
                  </a:defRPr>
                </a:pPr>
                <a:r>
                  <a:rPr lang="fr-FR" sz="1300" b="0" strike="noStrike" spc="-1">
                    <a:solidFill>
                      <a:srgbClr val="000000"/>
                    </a:solidFill>
                    <a:latin typeface="Arial"/>
                  </a:rPr>
                  <a:t>Nombre d'atomes restants (</a:t>
                </a:r>
                <a:r>
                  <a:rPr lang="fr-FR" sz="1300" b="0" strike="noStrike" spc="-1">
                    <a:solidFill>
                      <a:srgbClr val="000000"/>
                    </a:solidFill>
                    <a:latin typeface="Arial" panose="020B0604020202020204" pitchFamily="34" charset="0"/>
                    <a:cs typeface="Arial" panose="020B0604020202020204" pitchFamily="34" charset="0"/>
                  </a:rPr>
                  <a:t>×</a:t>
                </a:r>
                <a:r>
                  <a:rPr lang="fr-FR" sz="1300" b="0" strike="noStrike" spc="-1">
                    <a:solidFill>
                      <a:srgbClr val="000000"/>
                    </a:solidFill>
                    <a:latin typeface="Arial"/>
                  </a:rPr>
                  <a:t>10</a:t>
                </a:r>
                <a:r>
                  <a:rPr lang="fr-FR" sz="1300" b="0" strike="noStrike" spc="-1" baseline="30000">
                    <a:solidFill>
                      <a:srgbClr val="000000"/>
                    </a:solidFill>
                    <a:latin typeface="Arial"/>
                  </a:rPr>
                  <a:t>16</a:t>
                </a:r>
                <a:r>
                  <a:rPr lang="fr-FR" sz="1300" b="0" strike="noStrike" spc="-1">
                    <a:solidFill>
                      <a:srgbClr val="000000"/>
                    </a:solidFill>
                    <a:latin typeface="Arial"/>
                  </a:rPr>
                  <a:t>)</a:t>
                </a:r>
              </a:p>
            </c:rich>
          </c:tx>
          <c:layout>
            <c:manualLayout>
              <c:xMode val="edge"/>
              <c:yMode val="edge"/>
              <c:x val="2.4253114320361591E-2"/>
              <c:y val="0.16292134831460675"/>
            </c:manualLayout>
          </c:layout>
          <c:overlay val="0"/>
          <c:spPr>
            <a:noFill/>
            <a:ln>
              <a:noFill/>
            </a:ln>
          </c:spPr>
        </c:title>
        <c:numFmt formatCode="General" sourceLinked="0"/>
        <c:majorTickMark val="out"/>
        <c:minorTickMark val="none"/>
        <c:tickLblPos val="nextTo"/>
        <c:spPr>
          <a:ln w="6480">
            <a:solidFill>
              <a:srgbClr val="B3B3B3"/>
            </a:solidFill>
            <a:round/>
          </a:ln>
        </c:spPr>
        <c:txPr>
          <a:bodyPr/>
          <a:lstStyle/>
          <a:p>
            <a:pPr>
              <a:defRPr lang="fr-FR" sz="1000" b="0" strike="noStrike" spc="-1">
                <a:solidFill>
                  <a:srgbClr val="000000"/>
                </a:solidFill>
                <a:latin typeface="Arial"/>
              </a:defRPr>
            </a:pPr>
            <a:endParaRPr lang="fr-FR"/>
          </a:p>
        </c:txPr>
        <c:crossAx val="257656704"/>
        <c:crosses val="autoZero"/>
        <c:crossBetween val="midCat"/>
      </c:valAx>
      <c:spPr>
        <a:noFill/>
        <a:ln>
          <a:solidFill>
            <a:srgbClr val="B3B3B3"/>
          </a:solidFill>
        </a:ln>
      </c:spPr>
    </c:plotArea>
    <c:plotVisOnly val="1"/>
    <c:dispBlanksAs val="span"/>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fr-FR" sz="1500" b="0" strike="noStrike" spc="-1">
                <a:solidFill>
                  <a:srgbClr val="000000"/>
                </a:solidFill>
                <a:latin typeface="Arial"/>
              </a:defRPr>
            </a:pPr>
            <a:r>
              <a:rPr lang="fr-FR" sz="1500" b="0" strike="noStrike" spc="-1">
                <a:solidFill>
                  <a:srgbClr val="000000"/>
                </a:solidFill>
                <a:latin typeface="Arial"/>
              </a:rPr>
              <a:t>Courbe de décroissance d'un échantillon</a:t>
            </a:r>
            <a:r>
              <a:rPr lang="fr-FR" sz="1500" b="0" strike="noStrike" spc="-1" baseline="0">
                <a:solidFill>
                  <a:srgbClr val="000000"/>
                </a:solidFill>
                <a:latin typeface="Arial"/>
              </a:rPr>
              <a:t> de </a:t>
            </a:r>
            <a:r>
              <a:rPr lang="fr-FR" sz="1500" b="0" strike="noStrike" spc="-1">
                <a:solidFill>
                  <a:srgbClr val="000000"/>
                </a:solidFill>
                <a:latin typeface="Arial"/>
              </a:rPr>
              <a:t> polonium 210</a:t>
            </a:r>
          </a:p>
        </c:rich>
      </c:tx>
      <c:overlay val="0"/>
      <c:spPr>
        <a:noFill/>
        <a:ln>
          <a:noFill/>
        </a:ln>
      </c:spPr>
    </c:title>
    <c:autoTitleDeleted val="0"/>
    <c:plotArea>
      <c:layout>
        <c:manualLayout>
          <c:layoutTarget val="inner"/>
          <c:xMode val="edge"/>
          <c:yMode val="edge"/>
          <c:x val="0.10259153984675683"/>
          <c:y val="0.18271857923497267"/>
          <c:w val="0.8540452314536916"/>
          <c:h val="0.64997714168925602"/>
        </c:manualLayout>
      </c:layout>
      <c:scatterChart>
        <c:scatterStyle val="lineMarker"/>
        <c:varyColors val="0"/>
        <c:ser>
          <c:idx val="0"/>
          <c:order val="0"/>
          <c:tx>
            <c:strRef>
              <c:f>label 0</c:f>
              <c:strCache>
                <c:ptCount val="1"/>
                <c:pt idx="0">
                  <c:v>Colonne B</c:v>
                </c:pt>
              </c:strCache>
            </c:strRef>
          </c:tx>
          <c:spPr>
            <a:ln w="28800">
              <a:solidFill>
                <a:srgbClr val="000000"/>
              </a:solidFill>
              <a:round/>
            </a:ln>
          </c:spPr>
          <c:marker>
            <c:symbol val="square"/>
            <c:size val="3"/>
            <c:spPr>
              <a:solidFill>
                <a:srgbClr val="000000"/>
              </a:solidFill>
            </c:spPr>
          </c:marker>
          <c:dLbls>
            <c:spPr>
              <a:noFill/>
              <a:ln>
                <a:noFill/>
              </a:ln>
              <a:effectLst/>
            </c:spPr>
            <c:txPr>
              <a:bodyPr/>
              <a:lstStyle/>
              <a:p>
                <a:pPr>
                  <a:defRPr lang="fr-FR" sz="1000" b="0" strike="noStrike" spc="-1">
                    <a:solidFill>
                      <a:srgbClr val="000000"/>
                    </a:solidFill>
                    <a:latin typeface="Arial"/>
                  </a:defRPr>
                </a:pPr>
                <a:endParaRPr lang="fr-FR"/>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xVal>
            <c:numRef>
              <c:f>1</c:f>
              <c:numCache>
                <c:formatCode>General</c:formatCode>
                <c:ptCount val="52"/>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numCache>
            </c:numRef>
          </c:xVal>
          <c:yVal>
            <c:numRef>
              <c:f>0</c:f>
              <c:numCache>
                <c:formatCode>General</c:formatCode>
                <c:ptCount val="52"/>
                <c:pt idx="0">
                  <c:v>5.74</c:v>
                </c:pt>
                <c:pt idx="1">
                  <c:v>5.45880122795531</c:v>
                </c:pt>
                <c:pt idx="2">
                  <c:v>5.1913781962241003</c:v>
                </c:pt>
                <c:pt idx="3">
                  <c:v>4.9370560404753601</c:v>
                </c:pt>
                <c:pt idx="4">
                  <c:v>4.6951929575315399</c:v>
                </c:pt>
                <c:pt idx="5">
                  <c:v>4.4651785857247903</c:v>
                </c:pt>
                <c:pt idx="6">
                  <c:v>4.24643246459829</c:v>
                </c:pt>
                <c:pt idx="7">
                  <c:v>4.0384025700659301</c:v>
                </c:pt>
                <c:pt idx="8">
                  <c:v>3.84056392133341</c:v>
                </c:pt>
                <c:pt idx="9">
                  <c:v>3.6524172560654402</c:v>
                </c:pt>
                <c:pt idx="10">
                  <c:v>3.47348777045561</c:v>
                </c:pt>
                <c:pt idx="11">
                  <c:v>3.3033239210193099</c:v>
                </c:pt>
                <c:pt idx="12">
                  <c:v>3.1414962850861201</c:v>
                </c:pt>
                <c:pt idx="13">
                  <c:v>2.9875964771158801</c:v>
                </c:pt>
                <c:pt idx="14">
                  <c:v>2.84123611810368</c:v>
                </c:pt>
                <c:pt idx="15">
                  <c:v>2.7020458554730502</c:v>
                </c:pt>
                <c:pt idx="16">
                  <c:v>2.5696744309839401</c:v>
                </c:pt>
                <c:pt idx="17">
                  <c:v>2.44378779430322</c:v>
                </c:pt>
                <c:pt idx="18">
                  <c:v>2.3240682600008098</c:v>
                </c:pt>
                <c:pt idx="19">
                  <c:v>2.2102137058439602</c:v>
                </c:pt>
                <c:pt idx="20">
                  <c:v>2.10193681036667</c:v>
                </c:pt>
                <c:pt idx="21">
                  <c:v>1.9989643277899001</c:v>
                </c:pt>
                <c:pt idx="22">
                  <c:v>1.90103639846313</c:v>
                </c:pt>
                <c:pt idx="23">
                  <c:v>1.8079058930868099</c:v>
                </c:pt>
                <c:pt idx="24">
                  <c:v>1.71933778906096</c:v>
                </c:pt>
                <c:pt idx="25">
                  <c:v>1.6351085773860501</c:v>
                </c:pt>
                <c:pt idx="26">
                  <c:v>1.5550056986193701</c:v>
                </c:pt>
                <c:pt idx="27">
                  <c:v>1.47882700646358</c:v>
                </c:pt>
                <c:pt idx="28">
                  <c:v>1.4063802576336</c:v>
                </c:pt>
                <c:pt idx="29">
                  <c:v>1.3374826267147</c:v>
                </c:pt>
                <c:pt idx="30">
                  <c:v>1.2719602447873</c:v>
                </c:pt>
                <c:pt idx="31">
                  <c:v>1.20964776065422</c:v>
                </c:pt>
                <c:pt idx="32">
                  <c:v>1.15038792356318</c:v>
                </c:pt>
                <c:pt idx="33">
                  <c:v>1.0940311863713701</c:v>
                </c:pt>
                <c:pt idx="34">
                  <c:v>1.0404353281507699</c:v>
                </c:pt>
                <c:pt idx="35">
                  <c:v>0.98946509528179505</c:v>
                </c:pt>
                <c:pt idx="36">
                  <c:v>0.940991860129473</c:v>
                </c:pt>
                <c:pt idx="37">
                  <c:v>0.894893296440891</c:v>
                </c:pt>
                <c:pt idx="38">
                  <c:v>0.85105307064468805</c:v>
                </c:pt>
                <c:pt idx="39">
                  <c:v>0.80936054827358095</c:v>
                </c:pt>
                <c:pt idx="40">
                  <c:v>0.76971051476906005</c:v>
                </c:pt>
                <c:pt idx="41">
                  <c:v>0.73200290996366801</c:v>
                </c:pt>
                <c:pt idx="42">
                  <c:v>0.69614257557082404</c:v>
                </c:pt>
                <c:pt idx="43">
                  <c:v>0.662039015044945</c:v>
                </c:pt>
                <c:pt idx="44">
                  <c:v>0.62960616520586499</c:v>
                </c:pt>
                <c:pt idx="45">
                  <c:v>0.59876217905122098</c:v>
                </c:pt>
                <c:pt idx="46">
                  <c:v>0.56942921920871103</c:v>
                </c:pt>
                <c:pt idx="47">
                  <c:v>0.54153326150699299</c:v>
                </c:pt>
                <c:pt idx="48">
                  <c:v>0.51500390816951502</c:v>
                </c:pt>
                <c:pt idx="49">
                  <c:v>0.48977421015984901</c:v>
                </c:pt>
                <c:pt idx="50">
                  <c:v>0.465780498230213</c:v>
                </c:pt>
                <c:pt idx="51">
                  <c:v>0.44296222224681497</c:v>
                </c:pt>
              </c:numCache>
            </c:numRef>
          </c:yVal>
          <c:smooth val="0"/>
          <c:extLst>
            <c:ext xmlns:c16="http://schemas.microsoft.com/office/drawing/2014/chart" uri="{C3380CC4-5D6E-409C-BE32-E72D297353CC}">
              <c16:uniqueId val="{00000000-A973-4D7E-9790-DA3294D3EFE3}"/>
            </c:ext>
          </c:extLst>
        </c:ser>
        <c:dLbls>
          <c:showLegendKey val="0"/>
          <c:showVal val="0"/>
          <c:showCatName val="0"/>
          <c:showSerName val="0"/>
          <c:showPercent val="0"/>
          <c:showBubbleSize val="0"/>
        </c:dLbls>
        <c:axId val="249344864"/>
        <c:axId val="249342624"/>
      </c:scatterChart>
      <c:valAx>
        <c:axId val="249344864"/>
        <c:scaling>
          <c:orientation val="minMax"/>
          <c:max val="550"/>
          <c:min val="0"/>
        </c:scaling>
        <c:delete val="0"/>
        <c:axPos val="b"/>
        <c:title>
          <c:tx>
            <c:rich>
              <a:bodyPr rot="0"/>
              <a:lstStyle/>
              <a:p>
                <a:pPr>
                  <a:defRPr lang="fr-FR" sz="1300" b="0" strike="noStrike" spc="-1">
                    <a:solidFill>
                      <a:srgbClr val="000000"/>
                    </a:solidFill>
                    <a:latin typeface="Arial"/>
                  </a:defRPr>
                </a:pPr>
                <a:r>
                  <a:rPr lang="fr-FR" sz="1300" b="0" strike="noStrike" spc="-1">
                    <a:solidFill>
                      <a:srgbClr val="000000"/>
                    </a:solidFill>
                    <a:latin typeface="Arial"/>
                  </a:rPr>
                  <a:t>durée en jour</a:t>
                </a:r>
              </a:p>
            </c:rich>
          </c:tx>
          <c:layout>
            <c:manualLayout>
              <c:xMode val="edge"/>
              <c:yMode val="edge"/>
              <c:x val="0.80177028637598224"/>
              <c:y val="0.86988764044943823"/>
            </c:manualLayout>
          </c:layout>
          <c:overlay val="0"/>
          <c:spPr>
            <a:noFill/>
            <a:ln>
              <a:noFill/>
            </a:ln>
          </c:spPr>
        </c:title>
        <c:numFmt formatCode="General" sourceLinked="0"/>
        <c:majorTickMark val="out"/>
        <c:minorTickMark val="none"/>
        <c:tickLblPos val="nextTo"/>
        <c:spPr>
          <a:ln w="6480">
            <a:solidFill>
              <a:srgbClr val="B3B3B3"/>
            </a:solidFill>
            <a:round/>
          </a:ln>
        </c:spPr>
        <c:txPr>
          <a:bodyPr/>
          <a:lstStyle/>
          <a:p>
            <a:pPr>
              <a:defRPr lang="fr-FR" sz="1000" b="0" strike="noStrike" spc="-1">
                <a:solidFill>
                  <a:srgbClr val="000000"/>
                </a:solidFill>
                <a:latin typeface="Arial"/>
              </a:defRPr>
            </a:pPr>
            <a:endParaRPr lang="fr-FR"/>
          </a:p>
        </c:txPr>
        <c:crossAx val="249342624"/>
        <c:crosses val="autoZero"/>
        <c:crossBetween val="midCat"/>
        <c:majorUnit val="50"/>
      </c:valAx>
      <c:valAx>
        <c:axId val="249342624"/>
        <c:scaling>
          <c:orientation val="minMax"/>
        </c:scaling>
        <c:delete val="0"/>
        <c:axPos val="l"/>
        <c:majorGridlines>
          <c:spPr>
            <a:ln w="6480">
              <a:solidFill>
                <a:srgbClr val="B3B3B3"/>
              </a:solidFill>
              <a:round/>
            </a:ln>
          </c:spPr>
        </c:majorGridlines>
        <c:title>
          <c:tx>
            <c:rich>
              <a:bodyPr rot="-5400000"/>
              <a:lstStyle/>
              <a:p>
                <a:pPr>
                  <a:defRPr lang="fr-FR" sz="1300" b="0" strike="noStrike" spc="-1">
                    <a:solidFill>
                      <a:srgbClr val="000000"/>
                    </a:solidFill>
                    <a:latin typeface="Arial"/>
                  </a:defRPr>
                </a:pPr>
                <a:r>
                  <a:rPr lang="fr-FR" sz="1400" b="0" i="0" baseline="0">
                    <a:effectLst/>
                  </a:rPr>
                  <a:t>Nombre d'atomes restant (×10</a:t>
                </a:r>
                <a:r>
                  <a:rPr lang="fr-FR" sz="1400" b="0" i="0" baseline="30000">
                    <a:effectLst/>
                  </a:rPr>
                  <a:t>16</a:t>
                </a:r>
                <a:r>
                  <a:rPr lang="fr-FR" sz="1400" b="0" i="0" baseline="0">
                    <a:effectLst/>
                  </a:rPr>
                  <a:t>)</a:t>
                </a:r>
                <a:endParaRPr lang="fr-FR" sz="1100">
                  <a:effectLst/>
                </a:endParaRPr>
              </a:p>
            </c:rich>
          </c:tx>
          <c:overlay val="0"/>
          <c:spPr>
            <a:noFill/>
            <a:ln>
              <a:noFill/>
            </a:ln>
          </c:spPr>
        </c:title>
        <c:numFmt formatCode="General" sourceLinked="0"/>
        <c:majorTickMark val="out"/>
        <c:minorTickMark val="none"/>
        <c:tickLblPos val="nextTo"/>
        <c:spPr>
          <a:ln w="6480">
            <a:solidFill>
              <a:srgbClr val="B3B3B3"/>
            </a:solidFill>
            <a:round/>
          </a:ln>
        </c:spPr>
        <c:txPr>
          <a:bodyPr/>
          <a:lstStyle/>
          <a:p>
            <a:pPr>
              <a:defRPr lang="fr-FR" sz="1000" b="0" strike="noStrike" spc="-1">
                <a:solidFill>
                  <a:srgbClr val="000000"/>
                </a:solidFill>
                <a:latin typeface="Arial"/>
              </a:defRPr>
            </a:pPr>
            <a:endParaRPr lang="fr-FR"/>
          </a:p>
        </c:txPr>
        <c:crossAx val="249344864"/>
        <c:crosses val="autoZero"/>
        <c:crossBetween val="midCat"/>
      </c:valAx>
      <c:spPr>
        <a:noFill/>
        <a:ln w="25400">
          <a:noFill/>
        </a:ln>
      </c:spPr>
    </c:plotArea>
    <c:plotVisOnly val="1"/>
    <c:dispBlanksAs val="span"/>
    <c:showDLblsOverMax val="1"/>
  </c:chart>
  <c:spPr>
    <a:solidFill>
      <a:srgbClr val="FFFFFF"/>
    </a:solidFill>
    <a:ln>
      <a:noFill/>
    </a:ln>
  </c:spPr>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8</cp:revision>
  <cp:lastPrinted>2020-06-13T08:51:00Z</cp:lastPrinted>
  <dcterms:created xsi:type="dcterms:W3CDTF">2020-06-13T08:48:00Z</dcterms:created>
  <dcterms:modified xsi:type="dcterms:W3CDTF">2020-06-13T08:51:00Z</dcterms:modified>
</cp:coreProperties>
</file>