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3F322F" w14:paraId="039C410A" w14:textId="77777777" w:rsidTr="00D57427">
        <w:tc>
          <w:tcPr>
            <w:tcW w:w="10201" w:type="dxa"/>
          </w:tcPr>
          <w:p w14:paraId="7CDE9F90" w14:textId="77777777" w:rsidR="00577639" w:rsidRPr="003F322F" w:rsidRDefault="003F322F" w:rsidP="00D57427">
            <w:pPr>
              <w:jc w:val="center"/>
              <w:rPr>
                <w:rFonts w:eastAsia="Times New Roman" w:cs="Arial"/>
                <w:b/>
                <w:color w:val="595959" w:themeColor="text1" w:themeTint="A6"/>
                <w:sz w:val="24"/>
                <w:szCs w:val="24"/>
              </w:rPr>
            </w:pPr>
            <w:r w:rsidRPr="003F322F">
              <w:rPr>
                <w:sz w:val="24"/>
                <w:szCs w:val="24"/>
              </w:rPr>
              <w:fldChar w:fldCharType="begin"/>
            </w:r>
            <w:r w:rsidRPr="003F322F">
              <w:rPr>
                <w:sz w:val="24"/>
                <w:szCs w:val="24"/>
              </w:rPr>
              <w:instrText xml:space="preserve"> HYPERLINK "http://labolycee.org" </w:instrText>
            </w:r>
            <w:r w:rsidRPr="003F322F">
              <w:rPr>
                <w:sz w:val="24"/>
                <w:szCs w:val="24"/>
              </w:rPr>
              <w:fldChar w:fldCharType="separate"/>
            </w:r>
            <w:r w:rsidR="00577639" w:rsidRPr="003F322F">
              <w:rPr>
                <w:rStyle w:val="Lienhypertexte"/>
                <w:rFonts w:eastAsia="Times New Roman" w:cs="Arial"/>
                <w:b/>
                <w:sz w:val="24"/>
                <w:szCs w:val="24"/>
              </w:rPr>
              <w:t>http://labolycee.org</w:t>
            </w:r>
            <w:r w:rsidRPr="003F322F">
              <w:rPr>
                <w:rStyle w:val="Lienhypertexte"/>
                <w:rFonts w:cs="Arial"/>
                <w:b/>
                <w:sz w:val="24"/>
                <w:szCs w:val="24"/>
              </w:rPr>
              <w:fldChar w:fldCharType="end"/>
            </w:r>
            <w:r w:rsidR="00577639" w:rsidRPr="003F322F">
              <w:rPr>
                <w:rFonts w:eastAsia="Times New Roman" w:cs="Arial"/>
                <w:b/>
                <w:sz w:val="24"/>
                <w:szCs w:val="24"/>
              </w:rPr>
              <w:t xml:space="preserve"> ÉPREUVES COMMUNES DE CONTRÔLE CONTINU</w:t>
            </w:r>
          </w:p>
        </w:tc>
      </w:tr>
      <w:tr w:rsidR="00577639" w:rsidRPr="003F322F" w14:paraId="4B7DCAF8" w14:textId="77777777" w:rsidTr="00D57427">
        <w:tc>
          <w:tcPr>
            <w:tcW w:w="10201" w:type="dxa"/>
          </w:tcPr>
          <w:p w14:paraId="1C77DB80" w14:textId="77777777" w:rsidR="00577639" w:rsidRPr="003F322F" w:rsidRDefault="00577639" w:rsidP="00D57427">
            <w:pPr>
              <w:rPr>
                <w:rFonts w:eastAsia="Times New Roman" w:cs="Arial"/>
                <w:b/>
                <w:color w:val="000000" w:themeColor="text1"/>
                <w:sz w:val="24"/>
                <w:szCs w:val="24"/>
              </w:rPr>
            </w:pPr>
            <w:r w:rsidRPr="003F322F">
              <w:rPr>
                <w:rFonts w:eastAsia="Times New Roman" w:cs="Arial"/>
                <w:b/>
                <w:color w:val="000000" w:themeColor="text1"/>
                <w:sz w:val="24"/>
                <w:szCs w:val="24"/>
              </w:rPr>
              <w:t>CLASSE :</w:t>
            </w:r>
            <w:r w:rsidRPr="003F322F">
              <w:rPr>
                <w:rFonts w:eastAsia="Times New Roman" w:cs="Arial"/>
                <w:color w:val="000000" w:themeColor="text1"/>
                <w:sz w:val="24"/>
                <w:szCs w:val="24"/>
              </w:rPr>
              <w:t xml:space="preserve"> Première</w:t>
            </w:r>
            <w:r w:rsidRPr="003F322F">
              <w:rPr>
                <w:rFonts w:eastAsia="Times New Roman" w:cs="Arial"/>
                <w:color w:val="000000" w:themeColor="text1"/>
                <w:sz w:val="24"/>
                <w:szCs w:val="24"/>
              </w:rPr>
              <w:tab/>
            </w:r>
            <w:r w:rsidRPr="003F322F">
              <w:rPr>
                <w:rFonts w:eastAsia="Times New Roman" w:cs="Arial"/>
                <w:color w:val="000000" w:themeColor="text1"/>
                <w:sz w:val="24"/>
                <w:szCs w:val="24"/>
              </w:rPr>
              <w:tab/>
            </w:r>
            <w:r w:rsidRPr="003F322F">
              <w:rPr>
                <w:rFonts w:eastAsia="Times New Roman" w:cs="Arial"/>
                <w:color w:val="000000" w:themeColor="text1"/>
                <w:sz w:val="24"/>
                <w:szCs w:val="24"/>
              </w:rPr>
              <w:tab/>
            </w:r>
            <w:r w:rsidRPr="003F322F">
              <w:rPr>
                <w:rFonts w:eastAsia="Times New Roman" w:cs="Arial"/>
                <w:b/>
                <w:color w:val="000000" w:themeColor="text1"/>
                <w:sz w:val="24"/>
                <w:szCs w:val="24"/>
              </w:rPr>
              <w:t xml:space="preserve">E3C : </w:t>
            </w:r>
            <w:sdt>
              <w:sdtPr>
                <w:rPr>
                  <w:rFonts w:cs="Arial"/>
                  <w:color w:val="000000" w:themeColor="text1"/>
                  <w:sz w:val="24"/>
                  <w:szCs w:val="24"/>
                </w:rPr>
                <w:id w:val="1990283991"/>
                <w14:checkbox>
                  <w14:checked w14:val="0"/>
                  <w14:checkedState w14:val="2612" w14:font="MS Gothic"/>
                  <w14:uncheckedState w14:val="2610" w14:font="MS Gothic"/>
                </w14:checkbox>
              </w:sdtPr>
              <w:sdtEndPr/>
              <w:sdtContent>
                <w:r w:rsidRPr="003F322F">
                  <w:rPr>
                    <w:rFonts w:ascii="Segoe UI Symbol" w:eastAsia="MS Gothic" w:hAnsi="Segoe UI Symbol" w:cs="Segoe UI Symbol"/>
                    <w:color w:val="000000" w:themeColor="text1"/>
                    <w:sz w:val="24"/>
                    <w:szCs w:val="24"/>
                  </w:rPr>
                  <w:t>☐</w:t>
                </w:r>
              </w:sdtContent>
            </w:sdt>
            <w:r w:rsidRPr="003F322F">
              <w:rPr>
                <w:rFonts w:eastAsia="Times New Roman" w:cs="Arial"/>
                <w:color w:val="000000" w:themeColor="text1"/>
                <w:sz w:val="24"/>
                <w:szCs w:val="24"/>
              </w:rPr>
              <w:t xml:space="preserve"> E3C1 </w:t>
            </w:r>
            <w:sdt>
              <w:sdtPr>
                <w:rPr>
                  <w:rFonts w:cs="Arial"/>
                  <w:color w:val="000000" w:themeColor="text1"/>
                  <w:sz w:val="24"/>
                  <w:szCs w:val="24"/>
                </w:rPr>
                <w:id w:val="1774132376"/>
                <w14:checkbox>
                  <w14:checked w14:val="1"/>
                  <w14:checkedState w14:val="2612" w14:font="MS Gothic"/>
                  <w14:uncheckedState w14:val="2610" w14:font="MS Gothic"/>
                </w14:checkbox>
              </w:sdtPr>
              <w:sdtEndPr/>
              <w:sdtContent>
                <w:r w:rsidRPr="003F322F">
                  <w:rPr>
                    <w:rFonts w:ascii="Segoe UI Symbol" w:eastAsia="MS Gothic" w:hAnsi="Segoe UI Symbol" w:cs="Segoe UI Symbol"/>
                    <w:color w:val="000000" w:themeColor="text1"/>
                    <w:sz w:val="24"/>
                    <w:szCs w:val="24"/>
                  </w:rPr>
                  <w:t>☒</w:t>
                </w:r>
              </w:sdtContent>
            </w:sdt>
            <w:r w:rsidRPr="003F322F">
              <w:rPr>
                <w:rFonts w:eastAsia="Times New Roman" w:cs="Arial"/>
                <w:color w:val="000000" w:themeColor="text1"/>
                <w:sz w:val="24"/>
                <w:szCs w:val="24"/>
              </w:rPr>
              <w:t xml:space="preserve"> E3C2 </w:t>
            </w:r>
            <w:sdt>
              <w:sdtPr>
                <w:rPr>
                  <w:rFonts w:cs="Arial"/>
                  <w:color w:val="000000" w:themeColor="text1"/>
                  <w:sz w:val="24"/>
                  <w:szCs w:val="24"/>
                </w:rPr>
                <w:id w:val="1252311351"/>
                <w14:checkbox>
                  <w14:checked w14:val="0"/>
                  <w14:checkedState w14:val="2612" w14:font="MS Gothic"/>
                  <w14:uncheckedState w14:val="2610" w14:font="MS Gothic"/>
                </w14:checkbox>
              </w:sdtPr>
              <w:sdtEndPr/>
              <w:sdtContent>
                <w:r w:rsidRPr="003F322F">
                  <w:rPr>
                    <w:rFonts w:ascii="Segoe UI Symbol" w:eastAsia="MS Gothic" w:hAnsi="Segoe UI Symbol" w:cs="Segoe UI Symbol"/>
                    <w:color w:val="000000" w:themeColor="text1"/>
                    <w:sz w:val="24"/>
                    <w:szCs w:val="24"/>
                  </w:rPr>
                  <w:t>☐</w:t>
                </w:r>
              </w:sdtContent>
            </w:sdt>
            <w:r w:rsidRPr="003F322F">
              <w:rPr>
                <w:rFonts w:eastAsia="Times New Roman" w:cs="Arial"/>
                <w:color w:val="000000" w:themeColor="text1"/>
                <w:sz w:val="24"/>
                <w:szCs w:val="24"/>
              </w:rPr>
              <w:t xml:space="preserve"> E3C3</w:t>
            </w:r>
          </w:p>
          <w:p w14:paraId="3D2C8030" w14:textId="77777777" w:rsidR="00577639" w:rsidRPr="003F322F" w:rsidRDefault="00577639" w:rsidP="00D57427">
            <w:pPr>
              <w:rPr>
                <w:rFonts w:eastAsia="Times New Roman" w:cs="Arial"/>
                <w:b/>
                <w:color w:val="000000" w:themeColor="text1"/>
                <w:sz w:val="24"/>
                <w:szCs w:val="24"/>
              </w:rPr>
            </w:pPr>
            <w:r w:rsidRPr="003F322F">
              <w:rPr>
                <w:rFonts w:eastAsia="Times New Roman" w:cs="Arial"/>
                <w:b/>
                <w:color w:val="000000" w:themeColor="text1"/>
                <w:sz w:val="24"/>
                <w:szCs w:val="24"/>
              </w:rPr>
              <w:t>VOIE :</w:t>
            </w:r>
            <w:r w:rsidRPr="003F322F">
              <w:rPr>
                <w:rFonts w:eastAsia="Times New Roman" w:cs="Arial"/>
                <w:color w:val="000000" w:themeColor="text1"/>
                <w:sz w:val="24"/>
                <w:szCs w:val="24"/>
              </w:rPr>
              <w:t xml:space="preserve"> </w:t>
            </w:r>
            <w:sdt>
              <w:sdtPr>
                <w:rPr>
                  <w:rFonts w:cs="Arial"/>
                  <w:color w:val="000000" w:themeColor="text1"/>
                  <w:sz w:val="24"/>
                  <w:szCs w:val="24"/>
                </w:rPr>
                <w:id w:val="1896242340"/>
                <w14:checkbox>
                  <w14:checked w14:val="1"/>
                  <w14:checkedState w14:val="2612" w14:font="MS Gothic"/>
                  <w14:uncheckedState w14:val="2610" w14:font="MS Gothic"/>
                </w14:checkbox>
              </w:sdtPr>
              <w:sdtEndPr/>
              <w:sdtContent>
                <w:r w:rsidRPr="003F322F">
                  <w:rPr>
                    <w:rFonts w:ascii="Segoe UI Symbol" w:eastAsia="MS Gothic" w:hAnsi="Segoe UI Symbol" w:cs="Segoe UI Symbol"/>
                    <w:color w:val="000000" w:themeColor="text1"/>
                    <w:sz w:val="24"/>
                    <w:szCs w:val="24"/>
                  </w:rPr>
                  <w:t>☒</w:t>
                </w:r>
              </w:sdtContent>
            </w:sdt>
            <w:r w:rsidRPr="003F322F">
              <w:rPr>
                <w:rFonts w:eastAsia="Times New Roman" w:cs="Arial"/>
                <w:color w:val="000000" w:themeColor="text1"/>
                <w:sz w:val="24"/>
                <w:szCs w:val="24"/>
              </w:rPr>
              <w:t xml:space="preserve"> Générale </w:t>
            </w:r>
            <w:r w:rsidRPr="003F322F">
              <w:rPr>
                <w:rFonts w:eastAsia="Times New Roman" w:cs="Arial"/>
                <w:color w:val="000000" w:themeColor="text1"/>
                <w:sz w:val="24"/>
                <w:szCs w:val="24"/>
              </w:rPr>
              <w:tab/>
            </w:r>
            <w:r w:rsidRPr="003F322F">
              <w:rPr>
                <w:rFonts w:eastAsia="Times New Roman" w:cs="Arial"/>
                <w:color w:val="000000" w:themeColor="text1"/>
                <w:sz w:val="24"/>
                <w:szCs w:val="24"/>
              </w:rPr>
              <w:tab/>
            </w:r>
            <w:r w:rsidRPr="003F322F">
              <w:rPr>
                <w:rFonts w:eastAsia="Times New Roman" w:cs="Arial"/>
                <w:color w:val="000000" w:themeColor="text1"/>
                <w:sz w:val="24"/>
                <w:szCs w:val="24"/>
              </w:rPr>
              <w:tab/>
            </w:r>
            <w:r w:rsidRPr="003F322F">
              <w:rPr>
                <w:rFonts w:eastAsia="Times New Roman" w:cs="Arial"/>
                <w:b/>
                <w:color w:val="000000" w:themeColor="text1"/>
                <w:sz w:val="24"/>
                <w:szCs w:val="24"/>
              </w:rPr>
              <w:t>ENSEIGNEMENT : Enseignement scientifique</w:t>
            </w:r>
          </w:p>
          <w:p w14:paraId="6F3E7E3D" w14:textId="77777777" w:rsidR="00577639" w:rsidRPr="003F322F" w:rsidRDefault="00577639" w:rsidP="00D57427">
            <w:pPr>
              <w:rPr>
                <w:rFonts w:eastAsia="Times New Roman" w:cs="Arial"/>
                <w:color w:val="000000" w:themeColor="text1"/>
                <w:sz w:val="24"/>
                <w:szCs w:val="24"/>
              </w:rPr>
            </w:pPr>
            <w:r w:rsidRPr="003F322F">
              <w:rPr>
                <w:rFonts w:eastAsia="Times New Roman" w:cs="Arial"/>
                <w:b/>
                <w:color w:val="000000" w:themeColor="text1"/>
                <w:sz w:val="24"/>
                <w:szCs w:val="24"/>
              </w:rPr>
              <w:t>DURÉE DE L’ÉPREUVE :</w:t>
            </w:r>
            <w:r w:rsidRPr="003F322F">
              <w:rPr>
                <w:rFonts w:eastAsia="Times New Roman" w:cs="Arial"/>
                <w:color w:val="000000" w:themeColor="text1"/>
                <w:sz w:val="24"/>
                <w:szCs w:val="24"/>
              </w:rPr>
              <w:t xml:space="preserve"> 1h</w:t>
            </w:r>
          </w:p>
        </w:tc>
      </w:tr>
    </w:tbl>
    <w:p w14:paraId="1B2DE42C" w14:textId="4F725C26" w:rsidR="00CA0DF4" w:rsidRPr="003F322F" w:rsidRDefault="00CA0DF4" w:rsidP="004061CB">
      <w:pPr>
        <w:rPr>
          <w:rFonts w:cs="Arial"/>
          <w:szCs w:val="24"/>
        </w:rPr>
      </w:pPr>
    </w:p>
    <w:p w14:paraId="51BDAF70" w14:textId="77777777" w:rsidR="005B4EF5" w:rsidRPr="003F322F" w:rsidRDefault="005B4EF5" w:rsidP="005B4EF5">
      <w:pPr>
        <w:spacing w:after="120" w:line="260" w:lineRule="exact"/>
        <w:jc w:val="center"/>
        <w:rPr>
          <w:rFonts w:cs="Arial"/>
          <w:b/>
          <w:szCs w:val="24"/>
        </w:rPr>
      </w:pPr>
      <w:r w:rsidRPr="003F322F">
        <w:rPr>
          <w:rFonts w:eastAsia="Arial" w:cs="Arial"/>
          <w:b/>
          <w:szCs w:val="24"/>
        </w:rPr>
        <w:t>L’OR : EXPLOITATION ET CONSÉQUENCES SANITAIRES</w:t>
      </w:r>
    </w:p>
    <w:p w14:paraId="75003AEB" w14:textId="77777777" w:rsidR="005B4EF5" w:rsidRPr="003F322F" w:rsidRDefault="005B4EF5" w:rsidP="005B4EF5">
      <w:pPr>
        <w:pStyle w:val="En-tte"/>
        <w:spacing w:after="120" w:line="260" w:lineRule="exact"/>
        <w:rPr>
          <w:rFonts w:ascii="Arial" w:hAnsi="Arial" w:cs="Arial"/>
          <w:b/>
        </w:rPr>
      </w:pPr>
    </w:p>
    <w:p w14:paraId="24E14468" w14:textId="77777777" w:rsidR="005B4EF5" w:rsidRPr="003F322F" w:rsidRDefault="005B4EF5" w:rsidP="003F322F">
      <w:pPr>
        <w:pStyle w:val="En-tte"/>
        <w:spacing w:after="120" w:line="276" w:lineRule="auto"/>
        <w:jc w:val="both"/>
        <w:rPr>
          <w:rFonts w:ascii="Arial" w:hAnsi="Arial" w:cs="Arial"/>
        </w:rPr>
      </w:pPr>
      <w:r w:rsidRPr="003F322F">
        <w:rPr>
          <w:rFonts w:ascii="Arial" w:hAnsi="Arial" w:cs="Arial"/>
        </w:rPr>
        <w:t>L’objectif de cet exercice est d’étudier la structure cristalline de l’or puis de comprendre en quoi l’exploitation de l’or peut favoriser le développement de troubles neurologiques dans les populations humaines.</w:t>
      </w:r>
    </w:p>
    <w:p w14:paraId="710A0725" w14:textId="77777777" w:rsidR="005B4EF5" w:rsidRPr="003F322F" w:rsidRDefault="005B4EF5" w:rsidP="005B4EF5">
      <w:pPr>
        <w:pStyle w:val="En-tte"/>
        <w:spacing w:after="120" w:line="276" w:lineRule="auto"/>
        <w:rPr>
          <w:rFonts w:ascii="Arial" w:hAnsi="Arial" w:cs="Arial"/>
        </w:rPr>
      </w:pPr>
    </w:p>
    <w:p w14:paraId="28C10D94" w14:textId="77777777" w:rsidR="005B4EF5" w:rsidRPr="003F322F" w:rsidRDefault="005B4EF5" w:rsidP="005B4EF5">
      <w:pPr>
        <w:pStyle w:val="En-tte"/>
        <w:tabs>
          <w:tab w:val="clear" w:pos="4536"/>
          <w:tab w:val="center" w:pos="426"/>
        </w:tabs>
        <w:spacing w:after="120" w:line="360" w:lineRule="auto"/>
        <w:rPr>
          <w:rFonts w:ascii="Arial" w:hAnsi="Arial"/>
          <w:color w:val="FF33CC"/>
        </w:rPr>
      </w:pPr>
      <w:r w:rsidRPr="003F322F">
        <w:rPr>
          <w:rFonts w:ascii="Arial" w:hAnsi="Arial" w:cs="Arial"/>
          <w:bCs/>
          <w:u w:val="single"/>
        </w:rPr>
        <w:t>Partie 1. La structure du cristal d’or</w:t>
      </w:r>
    </w:p>
    <w:tbl>
      <w:tblPr>
        <w:tblStyle w:val="Grilledutableau"/>
        <w:tblW w:w="10201" w:type="dxa"/>
        <w:tblBorders>
          <w:insideH w:val="none" w:sz="0" w:space="0" w:color="auto"/>
          <w:insideV w:val="none" w:sz="0" w:space="0" w:color="auto"/>
        </w:tblBorders>
        <w:tblLook w:val="04A0" w:firstRow="1" w:lastRow="0" w:firstColumn="1" w:lastColumn="0" w:noHBand="0" w:noVBand="1"/>
      </w:tblPr>
      <w:tblGrid>
        <w:gridCol w:w="10201"/>
      </w:tblGrid>
      <w:tr w:rsidR="005B4EF5" w:rsidRPr="003F322F" w14:paraId="0304B890" w14:textId="77777777" w:rsidTr="003F322F">
        <w:tc>
          <w:tcPr>
            <w:tcW w:w="10201" w:type="dxa"/>
          </w:tcPr>
          <w:p w14:paraId="1132B96A" w14:textId="77777777" w:rsidR="005B4EF5" w:rsidRPr="003F322F" w:rsidRDefault="005B4EF5" w:rsidP="007E7FDD">
            <w:pPr>
              <w:pStyle w:val="En-tte"/>
              <w:spacing w:after="120" w:line="360" w:lineRule="auto"/>
              <w:rPr>
                <w:rFonts w:ascii="Arial" w:hAnsi="Arial" w:cs="Arial"/>
                <w:sz w:val="24"/>
                <w:u w:val="single"/>
              </w:rPr>
            </w:pPr>
            <w:r w:rsidRPr="003F322F">
              <w:rPr>
                <w:rFonts w:ascii="Arial" w:hAnsi="Arial" w:cs="Arial"/>
                <w:sz w:val="24"/>
                <w:u w:val="single"/>
              </w:rPr>
              <w:t xml:space="preserve">Document 1. Représentations de la maille cristalline de l’or </w:t>
            </w:r>
          </w:p>
          <w:p w14:paraId="61FFD865" w14:textId="77777777" w:rsidR="005B4EF5" w:rsidRPr="003F322F" w:rsidRDefault="005B4EF5" w:rsidP="003F322F">
            <w:pPr>
              <w:pStyle w:val="En-tte"/>
              <w:spacing w:after="120" w:line="276" w:lineRule="auto"/>
              <w:jc w:val="both"/>
              <w:rPr>
                <w:rFonts w:ascii="Arial" w:hAnsi="Arial" w:cs="Arial"/>
                <w:sz w:val="24"/>
              </w:rPr>
            </w:pPr>
            <w:r w:rsidRPr="003F322F">
              <w:rPr>
                <w:rFonts w:ascii="Arial" w:hAnsi="Arial" w:cs="Arial"/>
                <w:sz w:val="24"/>
              </w:rPr>
              <w:t xml:space="preserve">L’or cristallise en réseau cubique à faces centrées. Les atomes d’or sont assimilés à des sphères rigides, tangentes entre elles, de rayon </w:t>
            </w:r>
            <w:r w:rsidRPr="003F322F">
              <w:rPr>
                <w:rFonts w:ascii="Arial" w:hAnsi="Arial" w:cs="Arial"/>
                <w:i/>
                <w:sz w:val="24"/>
              </w:rPr>
              <w:t>r</w:t>
            </w:r>
            <w:r w:rsidRPr="003F322F">
              <w:rPr>
                <w:rFonts w:ascii="Arial" w:hAnsi="Arial" w:cs="Arial"/>
                <w:sz w:val="24"/>
              </w:rPr>
              <w:t xml:space="preserve"> = 144,2 pm (1 pm =  </w:t>
            </w:r>
            <m:oMath>
              <m:sSup>
                <m:sSupPr>
                  <m:ctrlPr>
                    <w:rPr>
                      <w:rFonts w:ascii="Cambria Math" w:hAnsi="Cambria Math" w:cs="Arial"/>
                      <w:sz w:val="24"/>
                    </w:rPr>
                  </m:ctrlPr>
                </m:sSupPr>
                <m:e>
                  <m:r>
                    <m:rPr>
                      <m:sty m:val="p"/>
                    </m:rPr>
                    <w:rPr>
                      <w:rFonts w:ascii="Cambria Math" w:hAnsi="Cambria Math" w:cs="Arial"/>
                      <w:sz w:val="24"/>
                    </w:rPr>
                    <m:t>10</m:t>
                  </m:r>
                </m:e>
                <m:sup>
                  <m:r>
                    <m:rPr>
                      <m:sty m:val="p"/>
                    </m:rPr>
                    <w:rPr>
                      <w:rFonts w:ascii="Cambria Math" w:hAnsi="Cambria Math" w:cs="Arial"/>
                      <w:sz w:val="24"/>
                    </w:rPr>
                    <m:t>-12</m:t>
                  </m:r>
                </m:sup>
              </m:sSup>
              <m:r>
                <m:rPr>
                  <m:sty m:val="p"/>
                </m:rPr>
                <w:rPr>
                  <w:rFonts w:ascii="Cambria Math" w:hAnsi="Cambria Math" w:cs="Arial"/>
                  <w:sz w:val="24"/>
                </w:rPr>
                <m:t xml:space="preserve"> m)</m:t>
              </m:r>
            </m:oMath>
            <w:r w:rsidRPr="003F322F">
              <w:rPr>
                <w:rFonts w:ascii="Arial" w:hAnsi="Arial" w:cs="Arial"/>
                <w:sz w:val="24"/>
              </w:rPr>
              <w:t>. Les points de tangence sont situés sur la diagonale d’une face du cube.</w:t>
            </w:r>
          </w:p>
          <w:p w14:paraId="2F1D8012" w14:textId="77777777" w:rsidR="005B4EF5" w:rsidRPr="003F322F" w:rsidRDefault="005B4EF5" w:rsidP="003F322F">
            <w:pPr>
              <w:pStyle w:val="En-tte"/>
              <w:spacing w:after="120" w:line="276" w:lineRule="auto"/>
              <w:jc w:val="both"/>
              <w:rPr>
                <w:rFonts w:ascii="Arial" w:hAnsi="Arial" w:cs="Arial"/>
                <w:sz w:val="24"/>
              </w:rPr>
            </w:pPr>
            <w:r w:rsidRPr="003F322F">
              <w:rPr>
                <w:rFonts w:ascii="Arial" w:hAnsi="Arial" w:cs="Arial"/>
                <w:sz w:val="24"/>
              </w:rPr>
              <w:t>Ci-dessous, les points représentent la position des centres des atomes d’or dans la maille : chaque atome au sommet du cube appartient à huit mailles et ceux au centre de chaque face appartiennent à deux mailles.</w:t>
            </w:r>
          </w:p>
          <w:p w14:paraId="19C7032A" w14:textId="77777777" w:rsidR="005B4EF5" w:rsidRPr="003F322F" w:rsidRDefault="005B4EF5" w:rsidP="007E7FDD">
            <w:pPr>
              <w:pStyle w:val="En-tte"/>
              <w:spacing w:before="240" w:line="360" w:lineRule="auto"/>
              <w:jc w:val="center"/>
              <w:rPr>
                <w:rFonts w:ascii="Arial" w:hAnsi="Arial" w:cs="Arial"/>
                <w:i/>
                <w:sz w:val="24"/>
              </w:rPr>
            </w:pPr>
            <w:r w:rsidRPr="003F322F">
              <w:rPr>
                <w:rFonts w:ascii="Arial" w:hAnsi="Arial" w:cs="Arial"/>
                <w:noProof/>
                <w:sz w:val="24"/>
              </w:rPr>
              <w:drawing>
                <wp:inline distT="0" distB="0" distL="0" distR="0" wp14:anchorId="4D22FB43" wp14:editId="520E1846">
                  <wp:extent cx="2260121" cy="2249399"/>
                  <wp:effectExtent l="0" t="0" r="6985" b="0"/>
                  <wp:docPr id="3052199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1864" cy="2251134"/>
                          </a:xfrm>
                          <a:prstGeom prst="rect">
                            <a:avLst/>
                          </a:prstGeom>
                        </pic:spPr>
                      </pic:pic>
                    </a:graphicData>
                  </a:graphic>
                </wp:inline>
              </w:drawing>
            </w:r>
          </w:p>
          <w:p w14:paraId="02D126D2" w14:textId="77777777" w:rsidR="005B4EF5" w:rsidRPr="003F322F" w:rsidRDefault="005B4EF5" w:rsidP="003F322F">
            <w:pPr>
              <w:pStyle w:val="En-tte"/>
              <w:spacing w:after="120" w:line="276" w:lineRule="auto"/>
              <w:jc w:val="both"/>
              <w:rPr>
                <w:rFonts w:ascii="Arial" w:hAnsi="Arial" w:cs="Arial"/>
                <w:sz w:val="24"/>
              </w:rPr>
            </w:pPr>
            <w:r w:rsidRPr="003F322F">
              <w:rPr>
                <w:rFonts w:ascii="Arial" w:hAnsi="Arial" w:cs="Arial"/>
                <w:sz w:val="24"/>
              </w:rPr>
              <w:t xml:space="preserve">On donne la représentation plane de la face d’une maille ci-dessous ; </w:t>
            </w:r>
            <m:oMath>
              <m:r>
                <w:rPr>
                  <w:rFonts w:ascii="Cambria Math" w:hAnsi="Cambria Math" w:cs="Arial"/>
                  <w:sz w:val="24"/>
                </w:rPr>
                <m:t>a</m:t>
              </m:r>
            </m:oMath>
            <w:r w:rsidRPr="003F322F">
              <w:rPr>
                <w:rFonts w:ascii="Arial" w:hAnsi="Arial" w:cs="Arial"/>
                <w:sz w:val="24"/>
              </w:rPr>
              <w:t xml:space="preserve"> est la longueur de l’arête de la maille et </w:t>
            </w:r>
            <m:oMath>
              <m:r>
                <w:rPr>
                  <w:rFonts w:ascii="Cambria Math" w:hAnsi="Cambria Math" w:cs="Arial"/>
                  <w:sz w:val="24"/>
                </w:rPr>
                <m:t>r</m:t>
              </m:r>
            </m:oMath>
            <w:r w:rsidRPr="003F322F">
              <w:rPr>
                <w:rFonts w:ascii="Arial" w:hAnsi="Arial" w:cs="Arial"/>
                <w:sz w:val="24"/>
              </w:rPr>
              <w:t xml:space="preserve"> est le rayon d’un atome.</w:t>
            </w:r>
          </w:p>
          <w:p w14:paraId="2CCB017C" w14:textId="77777777" w:rsidR="005B4EF5" w:rsidRPr="003F322F" w:rsidRDefault="005B4EF5" w:rsidP="007E7FDD">
            <w:pPr>
              <w:pStyle w:val="En-tte"/>
              <w:spacing w:line="360" w:lineRule="auto"/>
              <w:jc w:val="center"/>
              <w:rPr>
                <w:rFonts w:ascii="Arial" w:hAnsi="Arial" w:cs="Arial"/>
                <w:i/>
                <w:sz w:val="24"/>
              </w:rPr>
            </w:pPr>
            <w:r w:rsidRPr="003F322F">
              <w:rPr>
                <w:rFonts w:ascii="Arial" w:hAnsi="Arial" w:cs="Arial"/>
                <w:noProof/>
                <w:sz w:val="24"/>
              </w:rPr>
              <w:drawing>
                <wp:inline distT="0" distB="0" distL="0" distR="0" wp14:anchorId="01C61498" wp14:editId="2710B28F">
                  <wp:extent cx="2433693" cy="2147978"/>
                  <wp:effectExtent l="0" t="0" r="5080" b="5080"/>
                  <wp:docPr id="1937822193" name="Image 3" descr="Macintosh HD:Users:coco:Desktop:Crista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5">
                            <a:extLst>
                              <a:ext uri="{28A0092B-C50C-407E-A947-70E740481C1C}">
                                <a14:useLocalDpi xmlns:a14="http://schemas.microsoft.com/office/drawing/2010/main" val="0"/>
                              </a:ext>
                            </a:extLst>
                          </a:blip>
                          <a:stretch>
                            <a:fillRect/>
                          </a:stretch>
                        </pic:blipFill>
                        <pic:spPr>
                          <a:xfrm>
                            <a:off x="0" y="0"/>
                            <a:ext cx="2440536" cy="2154018"/>
                          </a:xfrm>
                          <a:prstGeom prst="rect">
                            <a:avLst/>
                          </a:prstGeom>
                        </pic:spPr>
                      </pic:pic>
                    </a:graphicData>
                  </a:graphic>
                </wp:inline>
              </w:drawing>
            </w:r>
          </w:p>
        </w:tc>
      </w:tr>
    </w:tbl>
    <w:p w14:paraId="67290D81" w14:textId="77777777" w:rsidR="005B4EF5" w:rsidRPr="003F322F" w:rsidRDefault="005B4EF5" w:rsidP="005B4EF5">
      <w:pPr>
        <w:rPr>
          <w:rFonts w:cs="Arial"/>
          <w:b/>
          <w:szCs w:val="24"/>
        </w:rPr>
      </w:pPr>
    </w:p>
    <w:p w14:paraId="2CF7F99D" w14:textId="77777777" w:rsidR="005B4EF5" w:rsidRPr="003F322F" w:rsidRDefault="005B4EF5" w:rsidP="003F322F">
      <w:pPr>
        <w:pStyle w:val="En-tte"/>
        <w:spacing w:after="120" w:line="360" w:lineRule="auto"/>
        <w:jc w:val="both"/>
        <w:rPr>
          <w:rFonts w:ascii="Arial" w:hAnsi="Arial" w:cs="Arial"/>
        </w:rPr>
      </w:pPr>
      <w:r w:rsidRPr="003F322F">
        <w:rPr>
          <w:rFonts w:ascii="Arial" w:hAnsi="Arial" w:cs="Arial"/>
          <w:b/>
        </w:rPr>
        <w:t>1-</w:t>
      </w:r>
      <w:r w:rsidRPr="003F322F">
        <w:rPr>
          <w:rFonts w:ascii="Arial" w:hAnsi="Arial" w:cs="Arial"/>
        </w:rPr>
        <w:t xml:space="preserve"> On note </w:t>
      </w:r>
      <m:oMath>
        <m:r>
          <w:rPr>
            <w:rFonts w:ascii="Cambria Math" w:hAnsi="Cambria Math" w:cs="Arial"/>
          </w:rPr>
          <m:t>a</m:t>
        </m:r>
      </m:oMath>
      <w:r w:rsidRPr="003F322F">
        <w:rPr>
          <w:rFonts w:ascii="Arial" w:hAnsi="Arial" w:cs="Arial"/>
        </w:rPr>
        <w:t xml:space="preserve"> la longueur de l’arête du cube représentant une maille. Démontrer par le calcul que  </w:t>
      </w:r>
      <m:oMath>
        <m:r>
          <w:rPr>
            <w:rFonts w:ascii="Cambria Math" w:hAnsi="Cambria Math" w:cs="Arial"/>
          </w:rPr>
          <m:t>a</m:t>
        </m:r>
      </m:oMath>
      <w:r w:rsidRPr="003F322F">
        <w:rPr>
          <w:rFonts w:ascii="Arial" w:hAnsi="Arial" w:cs="Arial"/>
          <w:i/>
          <w:iCs/>
        </w:rPr>
        <w:t xml:space="preserve"> </w:t>
      </w:r>
      <w:r w:rsidRPr="003F322F">
        <w:rPr>
          <w:rFonts w:ascii="Arial" w:hAnsi="Arial" w:cs="Arial"/>
        </w:rPr>
        <w:t xml:space="preserve">= 407,9 pm. En déduire le volume </w:t>
      </w:r>
      <m:oMath>
        <m:sSub>
          <m:sSubPr>
            <m:ctrlPr>
              <w:rPr>
                <w:rFonts w:ascii="Cambria Math" w:hAnsi="Cambria Math" w:cs="Arial"/>
                <w:i/>
              </w:rPr>
            </m:ctrlPr>
          </m:sSubPr>
          <m:e>
            <m:r>
              <w:rPr>
                <w:rFonts w:ascii="Cambria Math" w:hAnsi="Cambria Math" w:cs="Arial"/>
              </w:rPr>
              <m:t>V</m:t>
            </m:r>
          </m:e>
          <m:sub>
            <m:r>
              <w:rPr>
                <w:rFonts w:ascii="Cambria Math" w:hAnsi="Cambria Math" w:cs="Arial"/>
              </w:rPr>
              <m:t>m</m:t>
            </m:r>
          </m:sub>
        </m:sSub>
      </m:oMath>
      <w:r w:rsidRPr="003F322F">
        <w:rPr>
          <w:rFonts w:ascii="Arial" w:hAnsi="Arial" w:cs="Arial"/>
        </w:rPr>
        <w:t xml:space="preserve"> d’une maille cubique en pm</w:t>
      </w:r>
      <w:r w:rsidRPr="003F322F">
        <w:rPr>
          <w:rFonts w:ascii="Arial" w:hAnsi="Arial" w:cs="Arial"/>
          <w:vertAlign w:val="superscript"/>
        </w:rPr>
        <w:t>3</w:t>
      </w:r>
      <w:r w:rsidRPr="003F322F">
        <w:rPr>
          <w:rFonts w:ascii="Arial" w:hAnsi="Arial" w:cs="Arial"/>
        </w:rPr>
        <w:t>.</w:t>
      </w:r>
    </w:p>
    <w:p w14:paraId="402FCE28" w14:textId="77777777" w:rsidR="005B4EF5" w:rsidRPr="003F322F" w:rsidRDefault="005B4EF5" w:rsidP="003F322F">
      <w:pPr>
        <w:pStyle w:val="En-tte"/>
        <w:jc w:val="both"/>
        <w:rPr>
          <w:rFonts w:ascii="Arial" w:hAnsi="Arial" w:cs="Arial"/>
        </w:rPr>
      </w:pPr>
      <w:r w:rsidRPr="003F322F">
        <w:rPr>
          <w:rFonts w:ascii="Arial" w:hAnsi="Arial" w:cs="Arial"/>
          <w:b/>
        </w:rPr>
        <w:t>2-</w:t>
      </w:r>
      <w:r w:rsidRPr="003F322F">
        <w:rPr>
          <w:rFonts w:ascii="Arial" w:hAnsi="Arial" w:cs="Arial"/>
        </w:rPr>
        <w:t xml:space="preserve"> On rappelle que le volume </w:t>
      </w:r>
      <m:oMath>
        <m:r>
          <w:rPr>
            <w:rFonts w:ascii="Cambria Math" w:hAnsi="Cambria Math" w:cs="Arial"/>
          </w:rPr>
          <m:t>V</m:t>
        </m:r>
      </m:oMath>
      <w:r w:rsidRPr="003F322F">
        <w:rPr>
          <w:rFonts w:ascii="Arial" w:hAnsi="Arial" w:cs="Arial"/>
        </w:rPr>
        <w:t xml:space="preserve"> d’une sphère de rayon </w:t>
      </w:r>
      <m:oMath>
        <m:r>
          <w:rPr>
            <w:rFonts w:ascii="Cambria Math" w:hAnsi="Cambria Math" w:cs="Arial"/>
          </w:rPr>
          <m:t>r</m:t>
        </m:r>
      </m:oMath>
      <w:r w:rsidRPr="003F322F">
        <w:rPr>
          <w:rFonts w:ascii="Arial" w:hAnsi="Arial" w:cs="Arial"/>
        </w:rPr>
        <w:t xml:space="preserve"> est  </w:t>
      </w:r>
      <m:oMath>
        <m:r>
          <w:rPr>
            <w:rFonts w:ascii="Cambria Math" w:hAnsi="Cambria Math" w:cs="Arial"/>
          </w:rPr>
          <m:t>V</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4</m:t>
            </m:r>
          </m:num>
          <m:den>
            <m:r>
              <m:rPr>
                <m:sty m:val="p"/>
              </m:rPr>
              <w:rPr>
                <w:rFonts w:ascii="Cambria Math" w:hAnsi="Cambria Math" w:cs="Arial"/>
              </w:rPr>
              <m:t>3</m:t>
            </m:r>
          </m:den>
        </m:f>
        <m:r>
          <w:rPr>
            <w:rFonts w:ascii="Cambria Math" w:hAnsi="Cambria Math" w:cs="Arial"/>
          </w:rPr>
          <m:t>π</m:t>
        </m:r>
        <m:sSup>
          <m:sSupPr>
            <m:ctrlPr>
              <w:rPr>
                <w:rFonts w:ascii="Cambria Math" w:hAnsi="Cambria Math" w:cs="Arial"/>
              </w:rPr>
            </m:ctrlPr>
          </m:sSupPr>
          <m:e>
            <m:r>
              <w:rPr>
                <w:rFonts w:ascii="Cambria Math" w:hAnsi="Cambria Math" w:cs="Arial"/>
              </w:rPr>
              <m:t>r</m:t>
            </m:r>
          </m:e>
          <m:sup>
            <m:r>
              <m:rPr>
                <m:sty m:val="p"/>
              </m:rPr>
              <w:rPr>
                <w:rFonts w:ascii="Cambria Math" w:hAnsi="Cambria Math" w:cs="Arial"/>
              </w:rPr>
              <m:t>3</m:t>
            </m:r>
          </m:sup>
        </m:sSup>
      </m:oMath>
      <w:r w:rsidRPr="003F322F">
        <w:rPr>
          <w:rFonts w:ascii="Arial" w:hAnsi="Arial" w:cs="Arial"/>
        </w:rPr>
        <w:t>. Calculer, en pm</w:t>
      </w:r>
      <w:r w:rsidRPr="003F322F">
        <w:rPr>
          <w:rFonts w:ascii="Arial" w:hAnsi="Arial" w:cs="Arial"/>
          <w:vertAlign w:val="superscript"/>
        </w:rPr>
        <w:t>3</w:t>
      </w:r>
      <w:r w:rsidRPr="003F322F">
        <w:rPr>
          <w:rFonts w:ascii="Arial" w:hAnsi="Arial" w:cs="Arial"/>
        </w:rPr>
        <w:t xml:space="preserve">, le volume </w:t>
      </w:r>
      <m:oMath>
        <m:sSub>
          <m:sSubPr>
            <m:ctrlPr>
              <w:rPr>
                <w:rFonts w:ascii="Cambria Math" w:hAnsi="Cambria Math" w:cs="Arial"/>
                <w:i/>
              </w:rPr>
            </m:ctrlPr>
          </m:sSubPr>
          <m:e>
            <m:r>
              <w:rPr>
                <w:rFonts w:ascii="Cambria Math" w:hAnsi="Cambria Math" w:cs="Arial"/>
              </w:rPr>
              <m:t>V</m:t>
            </m:r>
          </m:e>
          <m:sub>
            <m:r>
              <w:rPr>
                <w:rFonts w:ascii="Cambria Math" w:hAnsi="Cambria Math" w:cs="Arial"/>
              </w:rPr>
              <m:t>O</m:t>
            </m:r>
          </m:sub>
        </m:sSub>
      </m:oMath>
      <w:r w:rsidRPr="003F322F">
        <w:rPr>
          <w:rFonts w:ascii="Arial" w:hAnsi="Arial" w:cs="Arial"/>
        </w:rPr>
        <w:t xml:space="preserve"> d’un atome d’or.</w:t>
      </w:r>
    </w:p>
    <w:p w14:paraId="0504B15F" w14:textId="77777777" w:rsidR="005B4EF5" w:rsidRPr="003F322F" w:rsidRDefault="005B4EF5" w:rsidP="005B4EF5">
      <w:pPr>
        <w:pStyle w:val="En-tte"/>
        <w:rPr>
          <w:rFonts w:ascii="Arial" w:hAnsi="Arial" w:cs="Arial"/>
        </w:rPr>
      </w:pPr>
    </w:p>
    <w:p w14:paraId="20153F03" w14:textId="77777777" w:rsidR="005B4EF5" w:rsidRPr="003F322F" w:rsidRDefault="005B4EF5" w:rsidP="003F322F">
      <w:pPr>
        <w:pStyle w:val="En-tte"/>
        <w:spacing w:after="120" w:line="360" w:lineRule="auto"/>
        <w:jc w:val="both"/>
        <w:rPr>
          <w:rFonts w:ascii="Arial" w:hAnsi="Arial"/>
        </w:rPr>
      </w:pPr>
      <w:r w:rsidRPr="003F322F">
        <w:rPr>
          <w:rFonts w:ascii="Arial" w:hAnsi="Arial" w:cs="Arial"/>
          <w:b/>
        </w:rPr>
        <w:t>3-</w:t>
      </w:r>
      <w:r w:rsidRPr="003F322F">
        <w:rPr>
          <w:rFonts w:ascii="Arial" w:hAnsi="Arial" w:cs="Arial"/>
        </w:rPr>
        <w:t xml:space="preserve"> On définit la compacité</w:t>
      </w:r>
      <m:oMath>
        <m:r>
          <w:rPr>
            <w:rFonts w:ascii="Cambria Math" w:hAnsi="Cambria Math" w:cs="Arial"/>
          </w:rPr>
          <m:t xml:space="preserve"> C</m:t>
        </m:r>
      </m:oMath>
      <w:r w:rsidRPr="003F322F">
        <w:rPr>
          <w:rFonts w:ascii="Arial" w:hAnsi="Arial" w:cs="Arial"/>
        </w:rPr>
        <w:t xml:space="preserve"> d’un cristal par la relation</w:t>
      </w:r>
      <w:r w:rsidRPr="003F322F">
        <w:rPr>
          <w:rFonts w:ascii="Arial" w:hAnsi="Arial"/>
        </w:rPr>
        <w:t xml:space="preserve"> : </w:t>
      </w:r>
    </w:p>
    <w:p w14:paraId="6A1F2417" w14:textId="77777777" w:rsidR="005B4EF5" w:rsidRPr="003F322F" w:rsidRDefault="005B4EF5" w:rsidP="005B4EF5">
      <w:pPr>
        <w:pStyle w:val="En-tte"/>
        <w:spacing w:after="120" w:line="360" w:lineRule="auto"/>
        <w:rPr>
          <w:rFonts w:ascii="Arial" w:hAnsi="Arial"/>
        </w:rPr>
      </w:pPr>
      <m:oMathPara>
        <m:oMath>
          <m:r>
            <w:rPr>
              <w:rFonts w:ascii="Cambria Math" w:hAnsi="Cambria Math" w:cs="Arial"/>
            </w:rPr>
            <m:t>C</m:t>
          </m:r>
          <m:r>
            <m:rPr>
              <m:sty m:val="p"/>
            </m:rPr>
            <w:rPr>
              <w:rFonts w:ascii="Cambria Math" w:hAnsi="Cambria Math" w:cs="Arial"/>
            </w:rPr>
            <m:t>=</m:t>
          </m:r>
          <m:f>
            <m:fPr>
              <m:ctrlPr>
                <w:rPr>
                  <w:rFonts w:ascii="Cambria Math" w:hAnsi="Cambria Math" w:cs="Arial"/>
                </w:rPr>
              </m:ctrlPr>
            </m:fPr>
            <m:num>
              <m:r>
                <m:rPr>
                  <m:nor/>
                </m:rPr>
                <w:rPr>
                  <w:rFonts w:ascii="Arial" w:hAnsi="Arial" w:cs="Arial"/>
                </w:rPr>
                <m:t>Volume occupé par les atomes d'une maille</m:t>
              </m:r>
            </m:num>
            <m:den>
              <m:r>
                <m:rPr>
                  <m:nor/>
                </m:rPr>
                <w:rPr>
                  <w:rFonts w:ascii="Arial" w:hAnsi="Arial" w:cs="Arial"/>
                </w:rPr>
                <m:t>Volume de la maille</m:t>
              </m:r>
            </m:den>
          </m:f>
        </m:oMath>
      </m:oMathPara>
    </w:p>
    <w:p w14:paraId="47B86391" w14:textId="77777777" w:rsidR="005B4EF5" w:rsidRPr="003F322F" w:rsidRDefault="005B4EF5" w:rsidP="003F322F">
      <w:pPr>
        <w:pStyle w:val="En-tte"/>
        <w:spacing w:after="120" w:line="360" w:lineRule="auto"/>
        <w:jc w:val="both"/>
        <w:rPr>
          <w:rFonts w:ascii="Arial" w:hAnsi="Arial"/>
        </w:rPr>
      </w:pPr>
      <w:r w:rsidRPr="003F322F">
        <w:rPr>
          <w:rFonts w:ascii="Arial" w:hAnsi="Arial"/>
        </w:rPr>
        <w:t>Calculer la compacité du cristal d’or.</w:t>
      </w:r>
    </w:p>
    <w:p w14:paraId="07D08A05" w14:textId="77777777" w:rsidR="005B4EF5" w:rsidRPr="003F322F" w:rsidRDefault="005B4EF5" w:rsidP="005B4EF5">
      <w:pPr>
        <w:pStyle w:val="En-tte"/>
        <w:spacing w:after="120" w:line="360" w:lineRule="auto"/>
        <w:rPr>
          <w:rFonts w:ascii="Arial" w:hAnsi="Arial"/>
          <w:bCs/>
          <w:u w:val="single"/>
        </w:rPr>
      </w:pPr>
      <w:r w:rsidRPr="003F322F">
        <w:rPr>
          <w:rFonts w:ascii="Arial" w:hAnsi="Arial"/>
          <w:bCs/>
          <w:u w:val="single"/>
        </w:rPr>
        <w:t>Partie 2. Conséquences sanitaires de l’exploitation d’or</w:t>
      </w:r>
    </w:p>
    <w:p w14:paraId="664B9B36" w14:textId="77777777" w:rsidR="005B4EF5" w:rsidRPr="003F322F" w:rsidRDefault="005B4EF5" w:rsidP="003F322F">
      <w:pPr>
        <w:pStyle w:val="En-tte"/>
        <w:spacing w:after="120" w:line="276" w:lineRule="auto"/>
        <w:jc w:val="both"/>
        <w:rPr>
          <w:rFonts w:ascii="Arial" w:hAnsi="Arial" w:cs="Arial"/>
        </w:rPr>
      </w:pPr>
      <w:r w:rsidRPr="003F322F">
        <w:rPr>
          <w:rFonts w:ascii="Arial" w:hAnsi="Arial"/>
        </w:rPr>
        <w:t>L’extraction de l’or nécessite d’utiliser de grandes quantités de cyanure et de mercure. Chez les adultes, les effets d'une exposition importante au mercure se remarquent par des symptômes affectant le système nerveux : des tremblements et des pertes de capacités sensorielles, avec notamment la perte de coordination entre les cellules musculaires et nerveuses, des troubles de la mémoire, et des déficiences intellectuelles</w:t>
      </w:r>
      <w:r w:rsidRPr="003F322F">
        <w:rPr>
          <w:rFonts w:ascii="Arial" w:hAnsi="Arial" w:cs="Arial"/>
        </w:rPr>
        <w:t>. Le mercure est considéré par l’Organisation Mondiale de la Santé (OMS) comme l’un des dix produits chimiques ou groupes de produits chimiques extrêmement préoccupants pour la santé publique.</w:t>
      </w:r>
    </w:p>
    <w:p w14:paraId="7D8E45B3" w14:textId="77777777" w:rsidR="005B4EF5" w:rsidRPr="003F322F" w:rsidRDefault="005B4EF5" w:rsidP="005B4EF5">
      <w:pPr>
        <w:rPr>
          <w:rFonts w:cs="Arial"/>
          <w:szCs w:val="24"/>
        </w:rPr>
      </w:pPr>
    </w:p>
    <w:p w14:paraId="5614D11F" w14:textId="77777777" w:rsidR="005B4EF5" w:rsidRPr="003F322F" w:rsidRDefault="005B4EF5" w:rsidP="005B4EF5">
      <w:pPr>
        <w:pStyle w:val="En-tte"/>
        <w:pBdr>
          <w:top w:val="single" w:sz="4" w:space="1" w:color="auto"/>
          <w:left w:val="single" w:sz="4" w:space="4" w:color="auto"/>
          <w:bottom w:val="single" w:sz="4" w:space="1" w:color="auto"/>
          <w:right w:val="single" w:sz="4" w:space="4" w:color="auto"/>
        </w:pBdr>
        <w:spacing w:after="120" w:line="360" w:lineRule="auto"/>
        <w:rPr>
          <w:rFonts w:ascii="Arial" w:hAnsi="Arial" w:cs="Arial"/>
          <w:u w:val="single"/>
        </w:rPr>
      </w:pPr>
      <w:r w:rsidRPr="003F322F">
        <w:rPr>
          <w:rFonts w:ascii="Arial" w:hAnsi="Arial" w:cs="Arial"/>
          <w:u w:val="single"/>
        </w:rPr>
        <w:t>Document 2. Les effets du méthyl-mercure sur les êtres-vivants</w:t>
      </w:r>
      <w:r w:rsidRPr="003F322F" w:rsidDel="00B17572">
        <w:rPr>
          <w:rFonts w:ascii="Arial" w:hAnsi="Arial" w:cs="Arial"/>
          <w:u w:val="single"/>
        </w:rPr>
        <w:t xml:space="preserve"> </w:t>
      </w:r>
    </w:p>
    <w:p w14:paraId="77A77E15" w14:textId="77777777" w:rsidR="005B4EF5" w:rsidRPr="003F322F" w:rsidRDefault="005B4EF5" w:rsidP="003F322F">
      <w:pPr>
        <w:pStyle w:val="En-tte"/>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rPr>
      </w:pPr>
      <w:r w:rsidRPr="003F322F">
        <w:rPr>
          <w:rFonts w:ascii="Arial" w:hAnsi="Arial" w:cs="Arial"/>
        </w:rPr>
        <w:t xml:space="preserve">Le cyanure et le mercure, utilisés sans précaution pour l’extraction de l’or, contaminent les sols et les nappes phréatiques à jamais. Même après la fermeture des mines, les gravats traités au cyanure génèrent pendant des décennies des acides sulfuriques toxiques. </w:t>
      </w:r>
    </w:p>
    <w:p w14:paraId="6F9CD414" w14:textId="77777777" w:rsidR="005B4EF5" w:rsidRPr="003F322F" w:rsidRDefault="005B4EF5" w:rsidP="003F322F">
      <w:pPr>
        <w:pStyle w:val="En-tte"/>
        <w:pBdr>
          <w:top w:val="single" w:sz="4" w:space="1" w:color="auto"/>
          <w:left w:val="single" w:sz="4" w:space="4" w:color="auto"/>
          <w:bottom w:val="single" w:sz="4" w:space="1" w:color="auto"/>
          <w:right w:val="single" w:sz="4" w:space="4" w:color="auto"/>
        </w:pBdr>
        <w:spacing w:after="120" w:line="276" w:lineRule="auto"/>
        <w:jc w:val="both"/>
        <w:rPr>
          <w:rFonts w:ascii="Arial" w:hAnsi="Arial" w:cs="Arial"/>
        </w:rPr>
      </w:pPr>
      <w:r w:rsidRPr="003F322F">
        <w:rPr>
          <w:rFonts w:ascii="Arial" w:hAnsi="Arial" w:cs="Arial"/>
        </w:rPr>
        <w:t xml:space="preserve">Le mercure peut se transformer dans l'environnement en méthyl-mercure. Ce méthyl-mercure tend à s'accumuler dans les eaux et dans les espèces aquatiques. […] </w:t>
      </w:r>
    </w:p>
    <w:p w14:paraId="6E80E532" w14:textId="77777777" w:rsidR="005B4EF5" w:rsidRPr="003F322F" w:rsidRDefault="005B4EF5" w:rsidP="003F322F">
      <w:pPr>
        <w:pStyle w:val="En-tte"/>
        <w:pBdr>
          <w:top w:val="single" w:sz="4" w:space="1" w:color="auto"/>
          <w:left w:val="single" w:sz="4" w:space="4" w:color="auto"/>
          <w:bottom w:val="single" w:sz="4" w:space="1" w:color="auto"/>
          <w:right w:val="single" w:sz="4" w:space="4" w:color="auto"/>
        </w:pBdr>
        <w:spacing w:after="120" w:line="276" w:lineRule="auto"/>
        <w:jc w:val="both"/>
        <w:rPr>
          <w:rFonts w:ascii="Arial" w:hAnsi="Arial"/>
        </w:rPr>
      </w:pPr>
      <w:r w:rsidRPr="003F322F">
        <w:rPr>
          <w:rFonts w:ascii="Arial" w:hAnsi="Arial"/>
        </w:rPr>
        <w:t xml:space="preserve">Le méthyl-mercure a la capacité de provoquer une réaction chimique dégradant les phospholipides de la membrane plasmique. Le méthyl-mercure peut pénétrer dans la cellule à travers ces membranes et peut se fixer sur certains organites notamment les mitochondries, et sur des protéines cytoplasmiques, dont le fonctionnement est alors altéré. Les cellules nerveuses sont particulièrement touchées. </w:t>
      </w:r>
    </w:p>
    <w:p w14:paraId="61E59896" w14:textId="77777777" w:rsidR="005B4EF5" w:rsidRPr="003F322F" w:rsidRDefault="005B4EF5" w:rsidP="003F322F">
      <w:pPr>
        <w:pBdr>
          <w:top w:val="single" w:sz="4" w:space="1" w:color="auto"/>
          <w:left w:val="single" w:sz="4" w:space="4" w:color="auto"/>
          <w:bottom w:val="single" w:sz="4" w:space="1" w:color="auto"/>
          <w:right w:val="single" w:sz="4" w:space="4" w:color="auto"/>
        </w:pBdr>
        <w:spacing w:before="100" w:beforeAutospacing="1" w:after="100" w:afterAutospacing="1" w:line="276" w:lineRule="auto"/>
        <w:jc w:val="right"/>
        <w:rPr>
          <w:rFonts w:cs="Arial"/>
          <w:szCs w:val="24"/>
        </w:rPr>
      </w:pPr>
      <w:proofErr w:type="spellStart"/>
      <w:r w:rsidRPr="003F322F">
        <w:rPr>
          <w:rFonts w:cs="Arial"/>
          <w:szCs w:val="24"/>
          <w:lang w:val="en-US"/>
        </w:rPr>
        <w:t>D’après</w:t>
      </w:r>
      <w:proofErr w:type="spellEnd"/>
      <w:r w:rsidRPr="003F322F">
        <w:rPr>
          <w:rFonts w:cs="Arial"/>
          <w:szCs w:val="24"/>
          <w:lang w:val="en-US"/>
        </w:rPr>
        <w:t xml:space="preserve"> </w:t>
      </w:r>
      <w:proofErr w:type="spellStart"/>
      <w:r w:rsidRPr="003F322F">
        <w:rPr>
          <w:rFonts w:cs="Arial"/>
          <w:szCs w:val="24"/>
          <w:lang w:val="en-US"/>
        </w:rPr>
        <w:t>Segall</w:t>
      </w:r>
      <w:proofErr w:type="spellEnd"/>
      <w:r w:rsidRPr="003F322F">
        <w:rPr>
          <w:rFonts w:cs="Arial"/>
          <w:szCs w:val="24"/>
          <w:lang w:val="en-US"/>
        </w:rPr>
        <w:t xml:space="preserve"> HJ, Wood </w:t>
      </w:r>
      <w:proofErr w:type="gramStart"/>
      <w:r w:rsidRPr="003F322F">
        <w:rPr>
          <w:rFonts w:cs="Arial"/>
          <w:szCs w:val="24"/>
          <w:lang w:val="en-US"/>
        </w:rPr>
        <w:t>J.M.(</w:t>
      </w:r>
      <w:proofErr w:type="gramEnd"/>
      <w:r w:rsidRPr="003F322F">
        <w:rPr>
          <w:rFonts w:cs="Arial"/>
          <w:szCs w:val="24"/>
          <w:lang w:val="en-US"/>
        </w:rPr>
        <w:t xml:space="preserve">1974). Reaction of methyl mercury with plasmalogens suggests a mechanism for neurotoxicity of metal-alkyls. </w:t>
      </w:r>
      <w:r w:rsidRPr="003F322F">
        <w:rPr>
          <w:rFonts w:cs="Arial"/>
          <w:szCs w:val="24"/>
        </w:rPr>
        <w:t>Nature.</w:t>
      </w:r>
      <w:proofErr w:type="gramStart"/>
      <w:r w:rsidRPr="003F322F">
        <w:rPr>
          <w:rFonts w:cs="Arial"/>
          <w:szCs w:val="24"/>
        </w:rPr>
        <w:t>248:</w:t>
      </w:r>
      <w:proofErr w:type="gramEnd"/>
      <w:r w:rsidRPr="003F322F">
        <w:rPr>
          <w:rFonts w:cs="Arial"/>
          <w:szCs w:val="24"/>
        </w:rPr>
        <w:t xml:space="preserve"> 456-8.</w:t>
      </w:r>
    </w:p>
    <w:p w14:paraId="401BA236" w14:textId="77777777" w:rsidR="005B4EF5" w:rsidRPr="003F322F" w:rsidRDefault="005B4EF5" w:rsidP="005B4EF5">
      <w:pPr>
        <w:rPr>
          <w:szCs w:val="24"/>
        </w:rPr>
      </w:pPr>
      <w:r w:rsidRPr="003F322F">
        <w:rPr>
          <w:szCs w:val="24"/>
        </w:rPr>
        <w:br w:type="page"/>
      </w:r>
    </w:p>
    <w:tbl>
      <w:tblPr>
        <w:tblStyle w:val="Grilledutableau"/>
        <w:tblW w:w="10490" w:type="dxa"/>
        <w:tblInd w:w="-5" w:type="dxa"/>
        <w:tblLook w:val="04A0" w:firstRow="1" w:lastRow="0" w:firstColumn="1" w:lastColumn="0" w:noHBand="0" w:noVBand="1"/>
      </w:tblPr>
      <w:tblGrid>
        <w:gridCol w:w="4820"/>
        <w:gridCol w:w="5670"/>
      </w:tblGrid>
      <w:tr w:rsidR="005B4EF5" w:rsidRPr="003F322F" w14:paraId="0573DC8C" w14:textId="77777777" w:rsidTr="003F322F">
        <w:tc>
          <w:tcPr>
            <w:tcW w:w="10490" w:type="dxa"/>
            <w:gridSpan w:val="2"/>
            <w:tcBorders>
              <w:bottom w:val="nil"/>
            </w:tcBorders>
          </w:tcPr>
          <w:p w14:paraId="7F2AC4C9" w14:textId="77777777" w:rsidR="005B4EF5" w:rsidRPr="003F322F" w:rsidRDefault="005B4EF5" w:rsidP="003F322F">
            <w:pPr>
              <w:autoSpaceDE w:val="0"/>
              <w:autoSpaceDN w:val="0"/>
              <w:adjustRightInd w:val="0"/>
              <w:spacing w:line="360" w:lineRule="auto"/>
              <w:jc w:val="both"/>
              <w:rPr>
                <w:rFonts w:cs="Arial"/>
                <w:sz w:val="24"/>
                <w:szCs w:val="24"/>
                <w:u w:val="single"/>
              </w:rPr>
            </w:pPr>
            <w:r w:rsidRPr="003F322F">
              <w:rPr>
                <w:sz w:val="24"/>
                <w:szCs w:val="24"/>
              </w:rPr>
              <w:lastRenderedPageBreak/>
              <w:br w:type="page"/>
            </w:r>
            <w:r w:rsidRPr="003F322F">
              <w:rPr>
                <w:rFonts w:cs="Arial"/>
                <w:sz w:val="24"/>
                <w:szCs w:val="24"/>
                <w:u w:val="single"/>
              </w:rPr>
              <w:t>Document 3. Suivi microscopique de la croissance de cellules nerveuses dans différentes conditions (sans et avec exposition au méthyl-mercure)</w:t>
            </w:r>
          </w:p>
          <w:p w14:paraId="26CC44B0" w14:textId="77777777" w:rsidR="005B4EF5" w:rsidRPr="003F322F" w:rsidRDefault="005B4EF5" w:rsidP="003F322F">
            <w:pPr>
              <w:autoSpaceDE w:val="0"/>
              <w:autoSpaceDN w:val="0"/>
              <w:adjustRightInd w:val="0"/>
              <w:spacing w:line="360" w:lineRule="auto"/>
              <w:jc w:val="both"/>
              <w:rPr>
                <w:rFonts w:cs="Arial"/>
                <w:sz w:val="24"/>
                <w:szCs w:val="24"/>
                <w:u w:val="single"/>
              </w:rPr>
            </w:pPr>
            <w:r w:rsidRPr="003F322F">
              <w:rPr>
                <w:rFonts w:cs="Arial"/>
                <w:sz w:val="24"/>
                <w:szCs w:val="24"/>
              </w:rPr>
              <w:t>La même cellule nerveuse est suivie, dans différentes conditions environnementales.</w:t>
            </w:r>
          </w:p>
        </w:tc>
      </w:tr>
      <w:tr w:rsidR="005B4EF5" w:rsidRPr="003F322F" w14:paraId="7F914F79" w14:textId="77777777" w:rsidTr="003F322F">
        <w:tc>
          <w:tcPr>
            <w:tcW w:w="4820" w:type="dxa"/>
            <w:tcBorders>
              <w:top w:val="nil"/>
              <w:bottom w:val="nil"/>
              <w:right w:val="nil"/>
            </w:tcBorders>
          </w:tcPr>
          <w:p w14:paraId="48E09AB6" w14:textId="77777777" w:rsidR="005B4EF5" w:rsidRPr="003F322F" w:rsidRDefault="005B4EF5" w:rsidP="007E7FDD">
            <w:pPr>
              <w:pStyle w:val="En-tte"/>
              <w:spacing w:line="360" w:lineRule="auto"/>
              <w:rPr>
                <w:rFonts w:ascii="Arial" w:hAnsi="Arial" w:cs="Arial"/>
                <w:b/>
                <w:sz w:val="24"/>
              </w:rPr>
            </w:pPr>
            <w:r w:rsidRPr="003F322F">
              <w:rPr>
                <w:noProof/>
                <w:sz w:val="24"/>
              </w:rPr>
              <w:drawing>
                <wp:inline distT="0" distB="0" distL="0" distR="0" wp14:anchorId="469ED94A" wp14:editId="5702C559">
                  <wp:extent cx="2709752" cy="5815173"/>
                  <wp:effectExtent l="0" t="0" r="0" b="1905"/>
                  <wp:docPr id="123229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
                            <a:extLst>
                              <a:ext uri="{28A0092B-C50C-407E-A947-70E740481C1C}">
                                <a14:useLocalDpi xmlns:a14="http://schemas.microsoft.com/office/drawing/2010/main" val="0"/>
                              </a:ext>
                            </a:extLst>
                          </a:blip>
                          <a:stretch>
                            <a:fillRect/>
                          </a:stretch>
                        </pic:blipFill>
                        <pic:spPr>
                          <a:xfrm>
                            <a:off x="0" y="0"/>
                            <a:ext cx="2728072" cy="5854488"/>
                          </a:xfrm>
                          <a:prstGeom prst="rect">
                            <a:avLst/>
                          </a:prstGeom>
                        </pic:spPr>
                      </pic:pic>
                    </a:graphicData>
                  </a:graphic>
                </wp:inline>
              </w:drawing>
            </w:r>
          </w:p>
        </w:tc>
        <w:tc>
          <w:tcPr>
            <w:tcW w:w="5670" w:type="dxa"/>
            <w:tcBorders>
              <w:top w:val="nil"/>
              <w:left w:val="nil"/>
              <w:bottom w:val="nil"/>
            </w:tcBorders>
          </w:tcPr>
          <w:p w14:paraId="6B9C0644" w14:textId="77777777" w:rsidR="005B4EF5" w:rsidRPr="003F322F" w:rsidRDefault="005B4EF5" w:rsidP="007E7FDD">
            <w:pPr>
              <w:autoSpaceDE w:val="0"/>
              <w:autoSpaceDN w:val="0"/>
              <w:adjustRightInd w:val="0"/>
              <w:spacing w:line="360" w:lineRule="auto"/>
              <w:rPr>
                <w:rFonts w:cs="Arial"/>
                <w:sz w:val="24"/>
                <w:szCs w:val="24"/>
              </w:rPr>
            </w:pPr>
          </w:p>
          <w:p w14:paraId="5BA949D9" w14:textId="77777777" w:rsidR="005B4EF5" w:rsidRPr="003F322F" w:rsidRDefault="005B4EF5" w:rsidP="007E7FDD">
            <w:pPr>
              <w:autoSpaceDE w:val="0"/>
              <w:autoSpaceDN w:val="0"/>
              <w:adjustRightInd w:val="0"/>
              <w:spacing w:line="360" w:lineRule="auto"/>
              <w:rPr>
                <w:rFonts w:cs="Arial"/>
                <w:sz w:val="24"/>
                <w:szCs w:val="24"/>
              </w:rPr>
            </w:pPr>
            <w:proofErr w:type="gramStart"/>
            <w:r w:rsidRPr="003F322F">
              <w:rPr>
                <w:rFonts w:cs="Arial"/>
                <w:b/>
                <w:sz w:val="24"/>
                <w:szCs w:val="24"/>
              </w:rPr>
              <w:t>a</w:t>
            </w:r>
            <w:proofErr w:type="gramEnd"/>
            <w:r w:rsidRPr="003F322F">
              <w:rPr>
                <w:rFonts w:cs="Arial"/>
                <w:sz w:val="24"/>
                <w:szCs w:val="24"/>
              </w:rPr>
              <w:t xml:space="preserve"> – Avant exposition au méthyl-mercure.</w:t>
            </w:r>
          </w:p>
          <w:p w14:paraId="08830072" w14:textId="77777777" w:rsidR="005B4EF5" w:rsidRPr="003F322F" w:rsidRDefault="005B4EF5" w:rsidP="007E7FDD">
            <w:pPr>
              <w:autoSpaceDE w:val="0"/>
              <w:autoSpaceDN w:val="0"/>
              <w:adjustRightInd w:val="0"/>
              <w:spacing w:line="360" w:lineRule="auto"/>
              <w:rPr>
                <w:rFonts w:cs="Arial"/>
                <w:b/>
                <w:sz w:val="24"/>
                <w:szCs w:val="24"/>
              </w:rPr>
            </w:pPr>
          </w:p>
          <w:p w14:paraId="24B4DD7F" w14:textId="77777777" w:rsidR="005B4EF5" w:rsidRPr="003F322F" w:rsidRDefault="005B4EF5" w:rsidP="007E7FDD">
            <w:pPr>
              <w:autoSpaceDE w:val="0"/>
              <w:autoSpaceDN w:val="0"/>
              <w:adjustRightInd w:val="0"/>
              <w:spacing w:line="360" w:lineRule="auto"/>
              <w:rPr>
                <w:rFonts w:cs="Arial"/>
                <w:b/>
                <w:sz w:val="24"/>
                <w:szCs w:val="24"/>
              </w:rPr>
            </w:pPr>
          </w:p>
          <w:p w14:paraId="49A220EF" w14:textId="0549B37D" w:rsidR="005B4EF5" w:rsidRDefault="005B4EF5" w:rsidP="007E7FDD">
            <w:pPr>
              <w:autoSpaceDE w:val="0"/>
              <w:autoSpaceDN w:val="0"/>
              <w:adjustRightInd w:val="0"/>
              <w:spacing w:line="360" w:lineRule="auto"/>
              <w:rPr>
                <w:rFonts w:cs="Arial"/>
                <w:b/>
                <w:sz w:val="24"/>
                <w:szCs w:val="24"/>
              </w:rPr>
            </w:pPr>
          </w:p>
          <w:p w14:paraId="7777670C" w14:textId="3AB930BE" w:rsidR="003F322F" w:rsidRDefault="003F322F" w:rsidP="007E7FDD">
            <w:pPr>
              <w:autoSpaceDE w:val="0"/>
              <w:autoSpaceDN w:val="0"/>
              <w:adjustRightInd w:val="0"/>
              <w:spacing w:line="360" w:lineRule="auto"/>
              <w:rPr>
                <w:rFonts w:cs="Arial"/>
                <w:b/>
                <w:sz w:val="24"/>
                <w:szCs w:val="24"/>
              </w:rPr>
            </w:pPr>
          </w:p>
          <w:p w14:paraId="6D8FCCC0" w14:textId="77777777" w:rsidR="003F322F" w:rsidRPr="003F322F" w:rsidRDefault="003F322F" w:rsidP="007E7FDD">
            <w:pPr>
              <w:autoSpaceDE w:val="0"/>
              <w:autoSpaceDN w:val="0"/>
              <w:adjustRightInd w:val="0"/>
              <w:spacing w:line="360" w:lineRule="auto"/>
              <w:rPr>
                <w:rFonts w:cs="Arial"/>
                <w:b/>
                <w:sz w:val="24"/>
                <w:szCs w:val="24"/>
              </w:rPr>
            </w:pPr>
          </w:p>
          <w:p w14:paraId="6BD65BD2" w14:textId="77777777" w:rsidR="005B4EF5" w:rsidRPr="003F322F" w:rsidRDefault="005B4EF5" w:rsidP="007E7FDD">
            <w:pPr>
              <w:autoSpaceDE w:val="0"/>
              <w:autoSpaceDN w:val="0"/>
              <w:adjustRightInd w:val="0"/>
              <w:spacing w:line="360" w:lineRule="auto"/>
              <w:rPr>
                <w:rFonts w:cs="Arial"/>
                <w:b/>
                <w:sz w:val="24"/>
                <w:szCs w:val="24"/>
              </w:rPr>
            </w:pPr>
          </w:p>
          <w:p w14:paraId="198D6FD1" w14:textId="77777777" w:rsidR="005B4EF5" w:rsidRPr="003F322F" w:rsidRDefault="005B4EF5" w:rsidP="007E7FDD">
            <w:pPr>
              <w:autoSpaceDE w:val="0"/>
              <w:autoSpaceDN w:val="0"/>
              <w:adjustRightInd w:val="0"/>
              <w:spacing w:line="360" w:lineRule="auto"/>
              <w:rPr>
                <w:rFonts w:cs="Arial"/>
                <w:sz w:val="24"/>
                <w:szCs w:val="24"/>
              </w:rPr>
            </w:pPr>
            <w:proofErr w:type="gramStart"/>
            <w:r w:rsidRPr="003F322F">
              <w:rPr>
                <w:rFonts w:cs="Arial"/>
                <w:b/>
                <w:sz w:val="24"/>
                <w:szCs w:val="24"/>
              </w:rPr>
              <w:t>b</w:t>
            </w:r>
            <w:proofErr w:type="gramEnd"/>
            <w:r w:rsidRPr="003F322F">
              <w:rPr>
                <w:rFonts w:cs="Arial"/>
                <w:b/>
                <w:sz w:val="24"/>
                <w:szCs w:val="24"/>
              </w:rPr>
              <w:t xml:space="preserve"> </w:t>
            </w:r>
            <w:r w:rsidRPr="003F322F">
              <w:rPr>
                <w:rFonts w:cs="Arial"/>
                <w:sz w:val="24"/>
                <w:szCs w:val="24"/>
              </w:rPr>
              <w:t>– Après une exposition de 10 minutes au méthyl-mercure.</w:t>
            </w:r>
          </w:p>
          <w:p w14:paraId="62076763" w14:textId="77777777" w:rsidR="005B4EF5" w:rsidRPr="003F322F" w:rsidRDefault="005B4EF5" w:rsidP="007E7FDD">
            <w:pPr>
              <w:autoSpaceDE w:val="0"/>
              <w:autoSpaceDN w:val="0"/>
              <w:adjustRightInd w:val="0"/>
              <w:spacing w:line="360" w:lineRule="auto"/>
              <w:rPr>
                <w:rFonts w:cs="Arial"/>
                <w:b/>
                <w:sz w:val="24"/>
                <w:szCs w:val="24"/>
              </w:rPr>
            </w:pPr>
          </w:p>
          <w:p w14:paraId="51161F39" w14:textId="77777777" w:rsidR="005B4EF5" w:rsidRPr="003F322F" w:rsidRDefault="005B4EF5" w:rsidP="007E7FDD">
            <w:pPr>
              <w:autoSpaceDE w:val="0"/>
              <w:autoSpaceDN w:val="0"/>
              <w:adjustRightInd w:val="0"/>
              <w:spacing w:line="360" w:lineRule="auto"/>
              <w:rPr>
                <w:rFonts w:cs="Arial"/>
                <w:b/>
                <w:sz w:val="24"/>
                <w:szCs w:val="24"/>
              </w:rPr>
            </w:pPr>
          </w:p>
          <w:p w14:paraId="58B8BAE0" w14:textId="77777777" w:rsidR="005B4EF5" w:rsidRPr="003F322F" w:rsidRDefault="005B4EF5" w:rsidP="007E7FDD">
            <w:pPr>
              <w:autoSpaceDE w:val="0"/>
              <w:autoSpaceDN w:val="0"/>
              <w:adjustRightInd w:val="0"/>
              <w:spacing w:line="360" w:lineRule="auto"/>
              <w:rPr>
                <w:rFonts w:cs="Arial"/>
                <w:b/>
                <w:sz w:val="24"/>
                <w:szCs w:val="24"/>
              </w:rPr>
            </w:pPr>
          </w:p>
          <w:p w14:paraId="41E6162A" w14:textId="40AED8E3" w:rsidR="005B4EF5" w:rsidRDefault="005B4EF5" w:rsidP="007E7FDD">
            <w:pPr>
              <w:autoSpaceDE w:val="0"/>
              <w:autoSpaceDN w:val="0"/>
              <w:adjustRightInd w:val="0"/>
              <w:spacing w:line="360" w:lineRule="auto"/>
              <w:rPr>
                <w:rFonts w:cs="Arial"/>
                <w:b/>
                <w:sz w:val="24"/>
                <w:szCs w:val="24"/>
              </w:rPr>
            </w:pPr>
          </w:p>
          <w:p w14:paraId="0EC34F1D" w14:textId="75BECC6C" w:rsidR="003F322F" w:rsidRDefault="003F322F" w:rsidP="007E7FDD">
            <w:pPr>
              <w:autoSpaceDE w:val="0"/>
              <w:autoSpaceDN w:val="0"/>
              <w:adjustRightInd w:val="0"/>
              <w:spacing w:line="360" w:lineRule="auto"/>
              <w:rPr>
                <w:rFonts w:cs="Arial"/>
                <w:b/>
                <w:sz w:val="24"/>
                <w:szCs w:val="24"/>
              </w:rPr>
            </w:pPr>
          </w:p>
          <w:p w14:paraId="33B5309D" w14:textId="77777777" w:rsidR="003F322F" w:rsidRPr="003F322F" w:rsidRDefault="003F322F" w:rsidP="007E7FDD">
            <w:pPr>
              <w:autoSpaceDE w:val="0"/>
              <w:autoSpaceDN w:val="0"/>
              <w:adjustRightInd w:val="0"/>
              <w:spacing w:line="360" w:lineRule="auto"/>
              <w:rPr>
                <w:rFonts w:cs="Arial"/>
                <w:b/>
                <w:sz w:val="24"/>
                <w:szCs w:val="24"/>
              </w:rPr>
            </w:pPr>
          </w:p>
          <w:p w14:paraId="32ED2D97" w14:textId="77777777" w:rsidR="005B4EF5" w:rsidRPr="003F322F" w:rsidRDefault="005B4EF5" w:rsidP="007E7FDD">
            <w:pPr>
              <w:autoSpaceDE w:val="0"/>
              <w:autoSpaceDN w:val="0"/>
              <w:adjustRightInd w:val="0"/>
              <w:spacing w:line="360" w:lineRule="auto"/>
              <w:rPr>
                <w:rFonts w:cs="Arial"/>
                <w:sz w:val="24"/>
                <w:szCs w:val="24"/>
              </w:rPr>
            </w:pPr>
            <w:proofErr w:type="gramStart"/>
            <w:r w:rsidRPr="003F322F">
              <w:rPr>
                <w:rFonts w:cs="Arial"/>
                <w:b/>
                <w:sz w:val="24"/>
                <w:szCs w:val="24"/>
              </w:rPr>
              <w:t>c</w:t>
            </w:r>
            <w:proofErr w:type="gramEnd"/>
            <w:r w:rsidRPr="003F322F">
              <w:rPr>
                <w:rFonts w:cs="Arial"/>
                <w:sz w:val="24"/>
                <w:szCs w:val="24"/>
              </w:rPr>
              <w:t xml:space="preserve"> –Après une exposition de 40 minutes au méthyl-mercure. </w:t>
            </w:r>
          </w:p>
          <w:p w14:paraId="4FFAB5A6" w14:textId="77777777" w:rsidR="005B4EF5" w:rsidRPr="003F322F" w:rsidRDefault="005B4EF5" w:rsidP="007E7FDD">
            <w:pPr>
              <w:autoSpaceDE w:val="0"/>
              <w:autoSpaceDN w:val="0"/>
              <w:adjustRightInd w:val="0"/>
              <w:spacing w:line="360" w:lineRule="auto"/>
              <w:rPr>
                <w:rFonts w:cs="Arial"/>
                <w:sz w:val="24"/>
                <w:szCs w:val="24"/>
              </w:rPr>
            </w:pPr>
          </w:p>
          <w:p w14:paraId="60177932" w14:textId="77777777" w:rsidR="005B4EF5" w:rsidRPr="003F322F" w:rsidRDefault="005B4EF5" w:rsidP="007E7FDD">
            <w:pPr>
              <w:autoSpaceDE w:val="0"/>
              <w:autoSpaceDN w:val="0"/>
              <w:adjustRightInd w:val="0"/>
              <w:spacing w:line="360" w:lineRule="auto"/>
              <w:rPr>
                <w:rFonts w:cs="Arial"/>
                <w:sz w:val="24"/>
                <w:szCs w:val="24"/>
              </w:rPr>
            </w:pPr>
          </w:p>
        </w:tc>
      </w:tr>
      <w:tr w:rsidR="005B4EF5" w:rsidRPr="003F322F" w14:paraId="48D8BB2E" w14:textId="77777777" w:rsidTr="003F322F">
        <w:tc>
          <w:tcPr>
            <w:tcW w:w="10490" w:type="dxa"/>
            <w:gridSpan w:val="2"/>
            <w:tcBorders>
              <w:top w:val="nil"/>
              <w:bottom w:val="single" w:sz="4" w:space="0" w:color="auto"/>
            </w:tcBorders>
          </w:tcPr>
          <w:p w14:paraId="04A2CCC5" w14:textId="77777777" w:rsidR="005B4EF5" w:rsidRPr="003F322F" w:rsidRDefault="005B4EF5" w:rsidP="007E7FDD">
            <w:pPr>
              <w:autoSpaceDE w:val="0"/>
              <w:autoSpaceDN w:val="0"/>
              <w:adjustRightInd w:val="0"/>
              <w:spacing w:line="276" w:lineRule="auto"/>
              <w:rPr>
                <w:rFonts w:cs="Arial"/>
                <w:sz w:val="24"/>
                <w:szCs w:val="24"/>
              </w:rPr>
            </w:pPr>
            <w:r w:rsidRPr="003F322F">
              <w:rPr>
                <w:rFonts w:cs="Arial"/>
                <w:sz w:val="24"/>
                <w:szCs w:val="24"/>
              </w:rPr>
              <w:t xml:space="preserve">La barre d’échelle visible en bas à droite des photographies mesure 30 µm. </w:t>
            </w:r>
          </w:p>
          <w:p w14:paraId="7496661F" w14:textId="77777777" w:rsidR="005B4EF5" w:rsidRPr="003F322F" w:rsidRDefault="005B4EF5" w:rsidP="003F322F">
            <w:pPr>
              <w:autoSpaceDE w:val="0"/>
              <w:autoSpaceDN w:val="0"/>
              <w:adjustRightInd w:val="0"/>
              <w:spacing w:line="276" w:lineRule="auto"/>
              <w:jc w:val="both"/>
              <w:rPr>
                <w:rFonts w:cs="Arial"/>
                <w:sz w:val="24"/>
                <w:szCs w:val="24"/>
                <w:lang w:val="en-US"/>
              </w:rPr>
            </w:pPr>
            <w:r w:rsidRPr="003F322F">
              <w:rPr>
                <w:rFonts w:cs="Arial"/>
                <w:sz w:val="24"/>
                <w:szCs w:val="24"/>
              </w:rPr>
              <w:t xml:space="preserve">La flèche noire permet de comparer un même point sur chaque image.                </w:t>
            </w:r>
            <w:r w:rsidRPr="003F322F">
              <w:rPr>
                <w:rFonts w:cs="Arial"/>
                <w:noProof/>
                <w:sz w:val="24"/>
                <w:szCs w:val="24"/>
                <w:lang w:val="en-US"/>
              </w:rPr>
              <w:t>D’après Retrograde degeneration of neurite […] in vitro exposure to mercury - Leong et al. – NeuroReport –2000</w:t>
            </w:r>
          </w:p>
        </w:tc>
      </w:tr>
    </w:tbl>
    <w:p w14:paraId="3D91C0BB" w14:textId="77777777" w:rsidR="005B4EF5" w:rsidRPr="003F322F" w:rsidRDefault="005B4EF5" w:rsidP="005B4EF5">
      <w:pPr>
        <w:pStyle w:val="En-tte"/>
        <w:spacing w:after="120" w:line="276" w:lineRule="auto"/>
        <w:rPr>
          <w:rFonts w:ascii="Arial" w:hAnsi="Arial"/>
          <w:b/>
          <w:lang w:val="en-US"/>
        </w:rPr>
      </w:pPr>
    </w:p>
    <w:p w14:paraId="1B9BAACA" w14:textId="77777777" w:rsidR="005B4EF5" w:rsidRPr="003F322F" w:rsidRDefault="005B4EF5" w:rsidP="003F322F">
      <w:pPr>
        <w:pStyle w:val="En-tte"/>
        <w:spacing w:after="120" w:line="276" w:lineRule="auto"/>
        <w:jc w:val="both"/>
        <w:rPr>
          <w:rFonts w:ascii="Arial" w:hAnsi="Arial"/>
        </w:rPr>
      </w:pPr>
      <w:r w:rsidRPr="003F322F">
        <w:rPr>
          <w:rFonts w:ascii="Arial" w:hAnsi="Arial"/>
          <w:b/>
        </w:rPr>
        <w:t>4-</w:t>
      </w:r>
      <w:r w:rsidRPr="003F322F">
        <w:rPr>
          <w:rFonts w:ascii="Arial" w:hAnsi="Arial"/>
        </w:rPr>
        <w:t xml:space="preserve"> À partir de l’exploitation des documents et de vos connaissances,</w:t>
      </w:r>
      <w:r w:rsidRPr="003F322F">
        <w:rPr>
          <w:rFonts w:ascii="Arial" w:hAnsi="Arial"/>
          <w:b/>
        </w:rPr>
        <w:t xml:space="preserve"> </w:t>
      </w:r>
      <w:r w:rsidRPr="003F322F">
        <w:rPr>
          <w:rFonts w:ascii="Arial" w:hAnsi="Arial"/>
        </w:rPr>
        <w:t xml:space="preserve">expliquer l’origine cellulaire des symptômes présentés par les individus fortement exposés au mercure. </w:t>
      </w:r>
    </w:p>
    <w:p w14:paraId="7145F505" w14:textId="4916C7BC" w:rsidR="005B4EF5" w:rsidRPr="003F322F" w:rsidRDefault="005B4EF5" w:rsidP="003F322F">
      <w:pPr>
        <w:pStyle w:val="En-tte"/>
        <w:spacing w:after="120" w:line="276" w:lineRule="auto"/>
        <w:rPr>
          <w:rFonts w:ascii="Arial" w:hAnsi="Arial"/>
        </w:rPr>
      </w:pPr>
      <w:r w:rsidRPr="003F322F">
        <w:rPr>
          <w:rFonts w:ascii="Arial" w:hAnsi="Arial"/>
        </w:rPr>
        <w:t xml:space="preserve">Une réponse argumentée structurée est attendue. Elle ne doit pas excéder une page. </w:t>
      </w:r>
    </w:p>
    <w:sectPr w:rsidR="005B4EF5" w:rsidRPr="003F322F"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48550718-71A2-44B5-BB2D-8BF5721F8BAF}"/>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8E7FB94A-ECD0-401B-A6C3-D04F503B4D66}"/>
    <w:embedItalic r:id="rId3" w:fontKey="{008D5FAA-27BC-4CBB-B5D6-BF6D436DD243}"/>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21216B"/>
    <w:rsid w:val="00290B46"/>
    <w:rsid w:val="0030164E"/>
    <w:rsid w:val="00336093"/>
    <w:rsid w:val="003B05DB"/>
    <w:rsid w:val="003F322F"/>
    <w:rsid w:val="004061CB"/>
    <w:rsid w:val="004468F1"/>
    <w:rsid w:val="0045319B"/>
    <w:rsid w:val="005377FE"/>
    <w:rsid w:val="00577639"/>
    <w:rsid w:val="0059619F"/>
    <w:rsid w:val="005B4EF5"/>
    <w:rsid w:val="006A36CD"/>
    <w:rsid w:val="00874167"/>
    <w:rsid w:val="00902983"/>
    <w:rsid w:val="00985BBF"/>
    <w:rsid w:val="00986F51"/>
    <w:rsid w:val="00B21A0F"/>
    <w:rsid w:val="00B507E8"/>
    <w:rsid w:val="00C96450"/>
    <w:rsid w:val="00CA0DF4"/>
    <w:rsid w:val="00CC0EF0"/>
    <w:rsid w:val="00D461E7"/>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5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 w:type="paragraph" w:styleId="En-tte">
    <w:name w:val="header"/>
    <w:basedOn w:val="Normal"/>
    <w:link w:val="En-tteCar"/>
    <w:uiPriority w:val="99"/>
    <w:unhideWhenUsed/>
    <w:rsid w:val="005B4EF5"/>
    <w:pPr>
      <w:tabs>
        <w:tab w:val="center" w:pos="4536"/>
        <w:tab w:val="right" w:pos="9072"/>
      </w:tabs>
    </w:pPr>
    <w:rPr>
      <w:rFonts w:ascii="Calibri" w:eastAsia="Calibri" w:hAnsi="Calibri"/>
      <w:szCs w:val="24"/>
      <w:lang w:eastAsia="fr-FR"/>
    </w:rPr>
  </w:style>
  <w:style w:type="character" w:customStyle="1" w:styleId="En-tteCar">
    <w:name w:val="En-tête Car"/>
    <w:basedOn w:val="Policepardfaut"/>
    <w:link w:val="En-tte"/>
    <w:uiPriority w:val="99"/>
    <w:rsid w:val="005B4EF5"/>
    <w:rPr>
      <w:rFonts w:ascii="Calibri" w:eastAsia="Calibri" w:hAnsi="Calibri"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667</Words>
  <Characters>3670</Characters>
  <Application>Microsoft Office Word</Application>
  <DocSecurity>0</DocSecurity>
  <Lines>30</Lines>
  <Paragraphs>8</Paragraphs>
  <ScaleCrop>false</ScaleCrop>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3</cp:revision>
  <dcterms:created xsi:type="dcterms:W3CDTF">2020-06-07T08:36:00Z</dcterms:created>
  <dcterms:modified xsi:type="dcterms:W3CDTF">2020-06-07T08:38:00Z</dcterms:modified>
</cp:coreProperties>
</file>