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622D31" w14:paraId="039C410A" w14:textId="77777777" w:rsidTr="00D57427">
        <w:tc>
          <w:tcPr>
            <w:tcW w:w="10201" w:type="dxa"/>
          </w:tcPr>
          <w:p w14:paraId="7CDE9F90" w14:textId="77777777" w:rsidR="00577639" w:rsidRPr="00622D31" w:rsidRDefault="00214118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 w:rsidRPr="00622D31">
              <w:rPr>
                <w:sz w:val="24"/>
                <w:szCs w:val="24"/>
              </w:rPr>
              <w:fldChar w:fldCharType="begin"/>
            </w:r>
            <w:r w:rsidRPr="00622D31">
              <w:rPr>
                <w:sz w:val="24"/>
                <w:szCs w:val="24"/>
              </w:rPr>
              <w:instrText xml:space="preserve"> HYPERLINK "http://labolycee.org" </w:instrText>
            </w:r>
            <w:r w:rsidRPr="00622D31">
              <w:rPr>
                <w:sz w:val="24"/>
                <w:szCs w:val="24"/>
              </w:rPr>
              <w:fldChar w:fldCharType="separate"/>
            </w:r>
            <w:r w:rsidR="00577639" w:rsidRPr="00622D31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 w:rsidRPr="00622D31">
              <w:rPr>
                <w:rStyle w:val="Lienhypertexte"/>
                <w:rFonts w:cs="Arial"/>
                <w:b/>
                <w:sz w:val="24"/>
                <w:szCs w:val="24"/>
              </w:rPr>
              <w:fldChar w:fldCharType="end"/>
            </w:r>
            <w:r w:rsidR="00577639" w:rsidRPr="00622D31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622D31" w14:paraId="4B7DCAF8" w14:textId="77777777" w:rsidTr="00D57427">
        <w:tc>
          <w:tcPr>
            <w:tcW w:w="10201" w:type="dxa"/>
          </w:tcPr>
          <w:p w14:paraId="1C77DB80" w14:textId="77777777" w:rsidR="00577639" w:rsidRPr="00622D31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622D31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22D31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22D31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22D31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622D31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622D31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22D31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622D31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622D31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22D31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622D3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C3DCB9" w14:textId="77777777" w:rsidR="00622D31" w:rsidRPr="00622D31" w:rsidRDefault="00622D31" w:rsidP="00622D31">
      <w:pPr>
        <w:jc w:val="center"/>
        <w:rPr>
          <w:rFonts w:cs="Arial"/>
          <w:b/>
          <w:szCs w:val="24"/>
        </w:rPr>
      </w:pPr>
      <w:r w:rsidRPr="00622D31">
        <w:rPr>
          <w:rFonts w:cs="Arial"/>
          <w:b/>
          <w:szCs w:val="24"/>
        </w:rPr>
        <w:t>LA TERRE, SA COMPOSITION ET SA TAILLE</w:t>
      </w:r>
    </w:p>
    <w:p w14:paraId="43F76E90" w14:textId="77777777" w:rsidR="00622D31" w:rsidRPr="00622D31" w:rsidRDefault="00622D31" w:rsidP="00622D31">
      <w:pPr>
        <w:rPr>
          <w:rFonts w:cs="Arial"/>
          <w:bCs/>
          <w:szCs w:val="24"/>
        </w:rPr>
      </w:pPr>
    </w:p>
    <w:p w14:paraId="06595D7D" w14:textId="77777777" w:rsidR="00622D31" w:rsidRPr="00622D31" w:rsidRDefault="00622D31" w:rsidP="00622D31">
      <w:pPr>
        <w:rPr>
          <w:rFonts w:cs="Arial"/>
          <w:bCs/>
          <w:szCs w:val="24"/>
        </w:rPr>
      </w:pPr>
      <w:r w:rsidRPr="00622D31">
        <w:rPr>
          <w:rFonts w:cs="Arial"/>
          <w:bCs/>
          <w:szCs w:val="24"/>
        </w:rPr>
        <w:t>Ce sujet s’intéresse à la fois à des mécanismes physico-chimiques à l’origine de la formation de la Terre et à une méthode mathématique permettant de calculer le rayon de la sphère terrestre.</w:t>
      </w:r>
    </w:p>
    <w:p w14:paraId="2D64295A" w14:textId="77777777" w:rsidR="00622D31" w:rsidRPr="00622D31" w:rsidRDefault="00622D31" w:rsidP="00622D31">
      <w:pPr>
        <w:rPr>
          <w:rFonts w:cs="Arial"/>
          <w:bCs/>
          <w:szCs w:val="24"/>
        </w:rPr>
      </w:pPr>
    </w:p>
    <w:p w14:paraId="06C7C652" w14:textId="77777777" w:rsidR="00622D31" w:rsidRPr="00622D31" w:rsidRDefault="00622D31" w:rsidP="00622D31">
      <w:pPr>
        <w:ind w:left="-624" w:firstLine="624"/>
        <w:rPr>
          <w:rFonts w:cs="Arial"/>
          <w:szCs w:val="24"/>
          <w:u w:val="single"/>
        </w:rPr>
      </w:pPr>
      <w:r w:rsidRPr="00622D31">
        <w:rPr>
          <w:rFonts w:cs="Arial"/>
          <w:szCs w:val="24"/>
          <w:u w:val="single"/>
        </w:rPr>
        <w:t>Partie 1 - La formation de la Terre dans l’Univers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622D31" w:rsidRPr="00622D31" w14:paraId="31A1EE4F" w14:textId="77777777" w:rsidTr="00622D31">
        <w:tc>
          <w:tcPr>
            <w:tcW w:w="10201" w:type="dxa"/>
            <w:tcBorders>
              <w:bottom w:val="nil"/>
            </w:tcBorders>
          </w:tcPr>
          <w:p w14:paraId="390FE3C6" w14:textId="77777777" w:rsidR="00622D31" w:rsidRPr="00622D31" w:rsidRDefault="00622D31" w:rsidP="008A3FB2">
            <w:pPr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  <w:u w:val="single"/>
              </w:rPr>
              <w:t>Document 1a. La nucléosynthèse primordiale</w:t>
            </w:r>
          </w:p>
        </w:tc>
      </w:tr>
      <w:tr w:rsidR="00622D31" w:rsidRPr="00622D31" w14:paraId="25BEA96B" w14:textId="77777777" w:rsidTr="00622D31">
        <w:tc>
          <w:tcPr>
            <w:tcW w:w="10201" w:type="dxa"/>
            <w:tcBorders>
              <w:top w:val="nil"/>
            </w:tcBorders>
          </w:tcPr>
          <w:p w14:paraId="2C401C33" w14:textId="77777777" w:rsidR="00622D31" w:rsidRPr="00622D31" w:rsidRDefault="00622D31" w:rsidP="00622D31">
            <w:pPr>
              <w:spacing w:before="240"/>
              <w:jc w:val="both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La nucléosynthèse primordiale a lieu lors des premières minutes de l’existence de l’Univers. Les protons et les neutrons apparaissent puis s’assemblent pour former les premiers noyaux d’hydrogène et d’hélium, suivant les réactions suivantes :</w:t>
            </w:r>
          </w:p>
          <w:p w14:paraId="32869FA7" w14:textId="77777777" w:rsidR="00622D31" w:rsidRPr="00622D31" w:rsidRDefault="00622D31" w:rsidP="008A3FB2">
            <w:pPr>
              <w:spacing w:after="240"/>
              <w:rPr>
                <w:rFonts w:eastAsiaTheme="minorEastAsia" w:cs="Arial"/>
                <w:sz w:val="24"/>
                <w:szCs w:val="24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H+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n 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2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H</m:t>
                    </m:r>
                  </m:e>
                </m:sPre>
              </m:oMath>
            </m:oMathPara>
          </w:p>
          <w:p w14:paraId="71A79C50" w14:textId="77777777" w:rsidR="00622D31" w:rsidRPr="00622D31" w:rsidRDefault="00622D31" w:rsidP="008A3FB2">
            <w:pPr>
              <w:spacing w:after="240"/>
              <w:rPr>
                <w:rFonts w:eastAsiaTheme="minorEastAsia" w:cs="Arial"/>
                <w:sz w:val="24"/>
                <w:szCs w:val="24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2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H+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H→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2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3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  <w:lang w:val="en-US"/>
                      </w:rPr>
                      <m:t>He</m:t>
                    </m:r>
                  </m:e>
                </m:sPre>
              </m:oMath>
            </m:oMathPara>
          </w:p>
          <w:p w14:paraId="46249050" w14:textId="77777777" w:rsidR="00622D31" w:rsidRPr="00622D31" w:rsidRDefault="00622D31" w:rsidP="008A3FB2">
            <w:pPr>
              <w:spacing w:after="240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622D31">
              <w:rPr>
                <w:rFonts w:eastAsiaTheme="minorEastAsia" w:cs="Arial"/>
                <w:sz w:val="24"/>
                <w:szCs w:val="24"/>
                <w:lang w:val="en-US"/>
              </w:rPr>
              <w:t xml:space="preserve">    </w:t>
            </w:r>
            <m:oMath>
              <m:sPre>
                <m:sPre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2</m:t>
                  </m:r>
                </m:sub>
                <m:sup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3</m:t>
                  </m:r>
                </m:sup>
                <m:e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He</m:t>
                  </m:r>
                  <m:r>
                    <m:rPr>
                      <m:nor/>
                    </m:rPr>
                    <w:rPr>
                      <w:rFonts w:ascii="Cambria Math" w:cs="Arial"/>
                      <w:sz w:val="24"/>
                      <w:szCs w:val="24"/>
                      <w:lang w:val="en-US"/>
                    </w:rPr>
                    <m:t>+</m:t>
                  </m:r>
                </m:e>
              </m:sPre>
              <m:sPre>
                <m:sPre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2</m:t>
                  </m:r>
                </m:sub>
                <m:sup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3</m:t>
                  </m:r>
                </m:sup>
                <m:e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He</m:t>
                  </m:r>
                  <m:r>
                    <m:rPr>
                      <m:nor/>
                    </m:rPr>
                    <w:rPr>
                      <w:rFonts w:ascii="Cambria Math" w:cs="Arial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→</m:t>
                  </m:r>
                </m:e>
              </m:sPre>
              <m:sPre>
                <m:sPre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2</m:t>
                  </m:r>
                </m:sub>
                <m:sup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4</m:t>
                  </m:r>
                </m:sup>
                <m:e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 xml:space="preserve">He+2 </m:t>
                  </m:r>
                </m:e>
              </m:sPre>
              <m:sPre>
                <m:sPre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1</m:t>
                  </m:r>
                </m:sub>
                <m:sup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r>
                    <m:rPr>
                      <m:nor/>
                    </m:rPr>
                    <w:rPr>
                      <w:rFonts w:cs="Arial"/>
                      <w:sz w:val="24"/>
                      <w:szCs w:val="24"/>
                      <w:lang w:val="en-US"/>
                    </w:rPr>
                    <m:t>H</m:t>
                  </m:r>
                </m:e>
              </m:sPre>
            </m:oMath>
          </w:p>
          <w:p w14:paraId="03C13298" w14:textId="77777777" w:rsidR="00622D31" w:rsidRPr="00622D31" w:rsidRDefault="00622D31" w:rsidP="00622D31">
            <w:pPr>
              <w:jc w:val="both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 xml:space="preserve">Puis rapidement, l’espace se dilate, entrainant la chute de la température et l’éloignement des noyaux formés. La formation de noyaux plus lourds devient impossible. L’Univers est alors formé de 90% de noyaux d’hydrogène et de 10% de noyaux d’hélium, cette composition reste figée pendant quelques centaines de millions d’années, jusqu’à ce que les premières étoiles apparaissent. </w:t>
            </w:r>
          </w:p>
        </w:tc>
      </w:tr>
      <w:tr w:rsidR="00622D31" w:rsidRPr="00622D31" w14:paraId="43958305" w14:textId="77777777" w:rsidTr="00622D31">
        <w:tc>
          <w:tcPr>
            <w:tcW w:w="10201" w:type="dxa"/>
          </w:tcPr>
          <w:p w14:paraId="1E762A31" w14:textId="77777777" w:rsidR="00622D31" w:rsidRPr="00622D31" w:rsidRDefault="00622D31" w:rsidP="008A3FB2">
            <w:pPr>
              <w:spacing w:before="240"/>
              <w:rPr>
                <w:rFonts w:cs="Arial"/>
                <w:sz w:val="24"/>
                <w:szCs w:val="24"/>
                <w:u w:val="single"/>
              </w:rPr>
            </w:pPr>
            <w:r w:rsidRPr="00622D31">
              <w:rPr>
                <w:rFonts w:cs="Arial"/>
                <w:sz w:val="24"/>
                <w:szCs w:val="24"/>
                <w:u w:val="single"/>
              </w:rPr>
              <w:t>Document 1b. La nucléosynthèse stellaire</w:t>
            </w:r>
          </w:p>
          <w:p w14:paraId="363D55BF" w14:textId="77777777" w:rsidR="00622D31" w:rsidRPr="00622D31" w:rsidRDefault="00622D31" w:rsidP="00214118">
            <w:pPr>
              <w:spacing w:before="240"/>
              <w:jc w:val="both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 xml:space="preserve">Les travaux menés par Hans Bethe vers </w:t>
            </w:r>
            <w:r w:rsidRPr="00622D31">
              <w:rPr>
                <w:rFonts w:cs="Arial"/>
                <w:bCs/>
                <w:sz w:val="24"/>
                <w:szCs w:val="24"/>
              </w:rPr>
              <w:t xml:space="preserve">1935 </w:t>
            </w:r>
            <w:r w:rsidRPr="00622D31">
              <w:rPr>
                <w:rFonts w:cs="Arial"/>
                <w:sz w:val="24"/>
                <w:szCs w:val="24"/>
              </w:rPr>
              <w:t>expliquèrent comment l’oxygène pouvait se former dans les étoiles par le cycle dit « carbone-oxygène-azote »</w:t>
            </w:r>
          </w:p>
          <w:p w14:paraId="6A0F3FD9" w14:textId="77777777" w:rsidR="00622D31" w:rsidRPr="00622D31" w:rsidRDefault="00622D31" w:rsidP="008A3FB2">
            <w:pPr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Extrait du cycle « Carbone-Azote-Oxygène » :</w:t>
            </w:r>
          </w:p>
          <w:p w14:paraId="66116243" w14:textId="77777777" w:rsidR="00622D31" w:rsidRPr="00622D31" w:rsidRDefault="00622D31" w:rsidP="008A3FB2">
            <w:pPr>
              <w:spacing w:before="240"/>
              <w:rPr>
                <w:rFonts w:eastAsiaTheme="minorEastAsia" w:cs="Arial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12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C+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H→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13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  <w:p w14:paraId="43F39CE6" w14:textId="77777777" w:rsidR="00622D31" w:rsidRPr="00622D31" w:rsidRDefault="00622D31" w:rsidP="008A3FB2">
            <w:pPr>
              <w:spacing w:before="240"/>
              <w:rPr>
                <w:rFonts w:eastAsiaTheme="minorEastAsia" w:cs="Arial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13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N</m:t>
                    </m:r>
                  </m:e>
                </m:sPre>
                <m:r>
                  <m:rPr>
                    <m:nor/>
                  </m:rPr>
                  <w:rPr>
                    <w:rFonts w:cs="Arial"/>
                    <w:sz w:val="24"/>
                    <w:szCs w:val="24"/>
                  </w:rPr>
                  <m:t>→</m:t>
                </m:r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13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C+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0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  <w:p w14:paraId="73D7075B" w14:textId="77777777" w:rsidR="00622D31" w:rsidRPr="00622D31" w:rsidRDefault="00622D31" w:rsidP="008A3FB2">
            <w:pPr>
              <w:spacing w:before="240"/>
              <w:rPr>
                <w:rFonts w:eastAsiaTheme="minorEastAsia" w:cs="Arial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13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C+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H→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N</m:t>
                    </m:r>
                  </m:e>
                </m:sPre>
              </m:oMath>
            </m:oMathPara>
          </w:p>
          <w:p w14:paraId="1B422C2A" w14:textId="77777777" w:rsidR="00622D31" w:rsidRPr="00622D31" w:rsidRDefault="00622D31" w:rsidP="008A3FB2">
            <w:pPr>
              <w:spacing w:before="240"/>
              <w:rPr>
                <w:rFonts w:eastAsiaTheme="minorEastAsia" w:cs="Arial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7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N+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H→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8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15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O</m:t>
                    </m:r>
                  </m:e>
                </m:sPre>
              </m:oMath>
            </m:oMathPara>
          </w:p>
          <w:p w14:paraId="54A515B5" w14:textId="77777777" w:rsidR="00622D31" w:rsidRPr="00622D31" w:rsidRDefault="00622D31" w:rsidP="00214118">
            <w:pPr>
              <w:jc w:val="both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 xml:space="preserve">Puis en </w:t>
            </w:r>
            <w:r w:rsidRPr="00622D31">
              <w:rPr>
                <w:rFonts w:cs="Arial"/>
                <w:bCs/>
                <w:sz w:val="24"/>
                <w:szCs w:val="24"/>
              </w:rPr>
              <w:t xml:space="preserve">1951 </w:t>
            </w:r>
            <w:r w:rsidRPr="00622D31">
              <w:rPr>
                <w:rFonts w:cs="Arial"/>
                <w:sz w:val="24"/>
                <w:szCs w:val="24"/>
              </w:rPr>
              <w:t xml:space="preserve">Edwin </w:t>
            </w:r>
            <w:proofErr w:type="spellStart"/>
            <w:r w:rsidRPr="00622D31">
              <w:rPr>
                <w:rFonts w:cs="Arial"/>
                <w:sz w:val="24"/>
                <w:szCs w:val="24"/>
              </w:rPr>
              <w:t>Salpeter</w:t>
            </w:r>
            <w:proofErr w:type="spellEnd"/>
            <w:r w:rsidRPr="00622D31">
              <w:rPr>
                <w:rFonts w:cs="Arial"/>
                <w:sz w:val="24"/>
                <w:szCs w:val="24"/>
              </w:rPr>
              <w:t xml:space="preserve"> expliqua comment les étoiles pouvaient transformer l'hélium en carbone par la réaction dite « triple alpha »</w:t>
            </w:r>
          </w:p>
          <w:p w14:paraId="5C3EA169" w14:textId="77777777" w:rsidR="00622D31" w:rsidRPr="00622D31" w:rsidRDefault="00622D31" w:rsidP="008A3FB2">
            <w:pPr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Équation de la réaction triple alpha :</w:t>
            </w:r>
          </w:p>
          <w:p w14:paraId="69C31F1F" w14:textId="77777777" w:rsidR="00622D31" w:rsidRPr="00622D31" w:rsidRDefault="00622D31" w:rsidP="008A3FB2">
            <w:pPr>
              <w:spacing w:before="240" w:after="240"/>
              <w:rPr>
                <w:rFonts w:cs="Arial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cs="Arial"/>
                    <w:sz w:val="24"/>
                    <w:szCs w:val="24"/>
                  </w:rPr>
                  <m:t xml:space="preserve">3 </m:t>
                </m:r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4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He→</m:t>
                    </m:r>
                  </m:e>
                </m:sPre>
                <m:sPre>
                  <m:sPre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12</m:t>
                    </m:r>
                  </m:sup>
                  <m:e>
                    <m:r>
                      <m:rPr>
                        <m:nor/>
                      </m:rPr>
                      <w:rPr>
                        <w:rFonts w:cs="Arial"/>
                        <w:sz w:val="24"/>
                        <w:szCs w:val="24"/>
                      </w:rPr>
                      <m:t>C</m:t>
                    </m:r>
                  </m:e>
                </m:sPre>
              </m:oMath>
            </m:oMathPara>
          </w:p>
          <w:p w14:paraId="7D8DCA44" w14:textId="77777777" w:rsidR="00622D31" w:rsidRPr="00622D31" w:rsidRDefault="00622D31" w:rsidP="00214118">
            <w:pPr>
              <w:spacing w:after="240"/>
              <w:jc w:val="both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À la fin de sa vie, l’étoile explose et disperse ces noyaux dans l’Univers permettant la formation d’autres étoiles, de planètes et, au moins sur Terre, d'êtres vivants.</w:t>
            </w:r>
          </w:p>
        </w:tc>
      </w:tr>
    </w:tbl>
    <w:p w14:paraId="59D03B72" w14:textId="37F213EE" w:rsidR="00214118" w:rsidRDefault="00214118" w:rsidP="00622D31">
      <w:pPr>
        <w:spacing w:after="240"/>
        <w:rPr>
          <w:rFonts w:cs="Arial"/>
          <w:szCs w:val="24"/>
          <w:u w:val="single"/>
        </w:rPr>
      </w:pPr>
    </w:p>
    <w:p w14:paraId="5CF3574B" w14:textId="77777777" w:rsidR="00214118" w:rsidRDefault="00214118">
      <w:pPr>
        <w:rPr>
          <w:rFonts w:cs="Arial"/>
          <w:szCs w:val="24"/>
          <w:u w:val="single"/>
        </w:rPr>
      </w:pPr>
      <w:r>
        <w:rPr>
          <w:rFonts w:cs="Arial"/>
          <w:szCs w:val="24"/>
          <w:u w:val="single"/>
        </w:rPr>
        <w:br w:type="page"/>
      </w:r>
    </w:p>
    <w:p w14:paraId="24855C15" w14:textId="77777777" w:rsidR="00622D31" w:rsidRPr="00622D31" w:rsidRDefault="00622D31" w:rsidP="00214118">
      <w:pPr>
        <w:spacing w:after="240"/>
        <w:jc w:val="center"/>
        <w:rPr>
          <w:rFonts w:cs="Arial"/>
          <w:szCs w:val="24"/>
          <w:u w:val="single"/>
        </w:rPr>
      </w:pPr>
      <w:r w:rsidRPr="00622D31">
        <w:rPr>
          <w:rFonts w:cs="Arial"/>
          <w:szCs w:val="24"/>
          <w:u w:val="single"/>
        </w:rPr>
        <w:lastRenderedPageBreak/>
        <w:t>Document 2. Abondance relative des éléments chimiques dans le globe terrestre</w:t>
      </w:r>
    </w:p>
    <w:tbl>
      <w:tblPr>
        <w:tblStyle w:val="Grilledutableau"/>
        <w:tblW w:w="5665" w:type="dxa"/>
        <w:jc w:val="center"/>
        <w:tblLook w:val="04A0" w:firstRow="1" w:lastRow="0" w:firstColumn="1" w:lastColumn="0" w:noHBand="0" w:noVBand="1"/>
      </w:tblPr>
      <w:tblGrid>
        <w:gridCol w:w="3114"/>
        <w:gridCol w:w="2551"/>
      </w:tblGrid>
      <w:tr w:rsidR="00622D31" w:rsidRPr="00622D31" w14:paraId="1A58C4FE" w14:textId="77777777" w:rsidTr="008A3FB2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2B2A590A" w14:textId="77777777" w:rsidR="00622D31" w:rsidRPr="00622D31" w:rsidRDefault="00622D31" w:rsidP="008A3FB2">
            <w:pPr>
              <w:jc w:val="center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Élément chimique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12A68C15" w14:textId="77777777" w:rsidR="00622D31" w:rsidRPr="00622D31" w:rsidRDefault="00622D31" w:rsidP="008A3FB2">
            <w:pPr>
              <w:jc w:val="center"/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Part en pourcentage</w:t>
            </w:r>
          </w:p>
        </w:tc>
      </w:tr>
      <w:tr w:rsidR="00622D31" w:rsidRPr="00622D31" w14:paraId="6BD9481D" w14:textId="77777777" w:rsidTr="008A3FB2">
        <w:trPr>
          <w:jc w:val="center"/>
        </w:trPr>
        <w:tc>
          <w:tcPr>
            <w:tcW w:w="3114" w:type="dxa"/>
            <w:vAlign w:val="center"/>
          </w:tcPr>
          <w:p w14:paraId="5A8A0310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Oxygène</w:t>
            </w:r>
          </w:p>
        </w:tc>
        <w:tc>
          <w:tcPr>
            <w:tcW w:w="2551" w:type="dxa"/>
            <w:vAlign w:val="center"/>
          </w:tcPr>
          <w:p w14:paraId="7BA45EE4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48,8 %</w:t>
            </w:r>
          </w:p>
        </w:tc>
      </w:tr>
      <w:tr w:rsidR="00622D31" w:rsidRPr="00622D31" w14:paraId="59DBA87F" w14:textId="77777777" w:rsidTr="008A3FB2">
        <w:trPr>
          <w:jc w:val="center"/>
        </w:trPr>
        <w:tc>
          <w:tcPr>
            <w:tcW w:w="3114" w:type="dxa"/>
            <w:vAlign w:val="center"/>
          </w:tcPr>
          <w:p w14:paraId="09B060F9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Magnésium</w:t>
            </w:r>
          </w:p>
        </w:tc>
        <w:tc>
          <w:tcPr>
            <w:tcW w:w="2551" w:type="dxa"/>
            <w:vAlign w:val="center"/>
          </w:tcPr>
          <w:p w14:paraId="4E84DB3E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16,5 %</w:t>
            </w:r>
          </w:p>
        </w:tc>
      </w:tr>
      <w:tr w:rsidR="00622D31" w:rsidRPr="00622D31" w14:paraId="0F05F705" w14:textId="77777777" w:rsidTr="008A3FB2">
        <w:trPr>
          <w:jc w:val="center"/>
        </w:trPr>
        <w:tc>
          <w:tcPr>
            <w:tcW w:w="3114" w:type="dxa"/>
            <w:vAlign w:val="center"/>
          </w:tcPr>
          <w:p w14:paraId="5ADBFB35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Fer</w:t>
            </w:r>
          </w:p>
        </w:tc>
        <w:tc>
          <w:tcPr>
            <w:tcW w:w="2551" w:type="dxa"/>
            <w:vAlign w:val="center"/>
          </w:tcPr>
          <w:p w14:paraId="44410FBF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14,3 %</w:t>
            </w:r>
          </w:p>
        </w:tc>
      </w:tr>
      <w:tr w:rsidR="00622D31" w:rsidRPr="00622D31" w14:paraId="08934603" w14:textId="77777777" w:rsidTr="008A3FB2">
        <w:trPr>
          <w:jc w:val="center"/>
        </w:trPr>
        <w:tc>
          <w:tcPr>
            <w:tcW w:w="3114" w:type="dxa"/>
            <w:vAlign w:val="center"/>
          </w:tcPr>
          <w:p w14:paraId="72E22C1E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Silicium</w:t>
            </w:r>
          </w:p>
        </w:tc>
        <w:tc>
          <w:tcPr>
            <w:tcW w:w="2551" w:type="dxa"/>
            <w:vAlign w:val="center"/>
          </w:tcPr>
          <w:p w14:paraId="69C368AB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13,8 %</w:t>
            </w:r>
          </w:p>
        </w:tc>
      </w:tr>
      <w:tr w:rsidR="00622D31" w:rsidRPr="00622D31" w14:paraId="2470A05B" w14:textId="77777777" w:rsidTr="008A3FB2">
        <w:trPr>
          <w:jc w:val="center"/>
        </w:trPr>
        <w:tc>
          <w:tcPr>
            <w:tcW w:w="3114" w:type="dxa"/>
            <w:vAlign w:val="center"/>
          </w:tcPr>
          <w:p w14:paraId="14F1850F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Soufre</w:t>
            </w:r>
          </w:p>
        </w:tc>
        <w:tc>
          <w:tcPr>
            <w:tcW w:w="2551" w:type="dxa"/>
            <w:vAlign w:val="center"/>
          </w:tcPr>
          <w:p w14:paraId="108A4B1F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3,7 %</w:t>
            </w:r>
          </w:p>
        </w:tc>
      </w:tr>
      <w:tr w:rsidR="00622D31" w:rsidRPr="00622D31" w14:paraId="6AFAE19B" w14:textId="77777777" w:rsidTr="008A3FB2">
        <w:trPr>
          <w:jc w:val="center"/>
        </w:trPr>
        <w:tc>
          <w:tcPr>
            <w:tcW w:w="3114" w:type="dxa"/>
            <w:vAlign w:val="center"/>
          </w:tcPr>
          <w:p w14:paraId="0FC49076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Autres</w:t>
            </w:r>
          </w:p>
        </w:tc>
        <w:tc>
          <w:tcPr>
            <w:tcW w:w="2551" w:type="dxa"/>
            <w:vAlign w:val="center"/>
          </w:tcPr>
          <w:p w14:paraId="02E6CAB3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2,9 %</w:t>
            </w:r>
          </w:p>
        </w:tc>
      </w:tr>
    </w:tbl>
    <w:p w14:paraId="35ADFA70" w14:textId="77777777" w:rsidR="00622D31" w:rsidRPr="00622D31" w:rsidRDefault="00622D31" w:rsidP="00214118">
      <w:pPr>
        <w:spacing w:after="240"/>
        <w:jc w:val="both"/>
        <w:rPr>
          <w:rFonts w:cs="Arial"/>
          <w:szCs w:val="24"/>
        </w:rPr>
      </w:pPr>
      <w:r w:rsidRPr="00622D31">
        <w:rPr>
          <w:rFonts w:cs="Arial"/>
          <w:b/>
          <w:szCs w:val="24"/>
        </w:rPr>
        <w:t>1-</w:t>
      </w:r>
      <w:r w:rsidRPr="00622D31">
        <w:rPr>
          <w:rFonts w:cs="Arial"/>
          <w:szCs w:val="24"/>
        </w:rPr>
        <w:t xml:space="preserve"> Indiquer quel type de réaction (fusion ou fission) est à l’œuvre lors de la nucléosynthèse primordiale.</w:t>
      </w:r>
    </w:p>
    <w:p w14:paraId="6E6D604B" w14:textId="77777777" w:rsidR="00622D31" w:rsidRPr="00622D31" w:rsidRDefault="00622D31" w:rsidP="00214118">
      <w:pPr>
        <w:spacing w:after="240"/>
        <w:jc w:val="both"/>
        <w:rPr>
          <w:rFonts w:cs="Arial"/>
          <w:szCs w:val="24"/>
        </w:rPr>
      </w:pPr>
      <w:r w:rsidRPr="00622D31">
        <w:rPr>
          <w:rFonts w:cs="Arial"/>
          <w:b/>
          <w:szCs w:val="24"/>
        </w:rPr>
        <w:t>2-</w:t>
      </w:r>
      <w:r w:rsidRPr="00622D31">
        <w:rPr>
          <w:rFonts w:cs="Arial"/>
          <w:szCs w:val="24"/>
        </w:rPr>
        <w:t xml:space="preserve"> Expliquer comment les travaux de </w:t>
      </w:r>
      <w:proofErr w:type="spellStart"/>
      <w:r w:rsidRPr="00622D31">
        <w:rPr>
          <w:rFonts w:cs="Arial"/>
          <w:szCs w:val="24"/>
        </w:rPr>
        <w:t>Salpeter</w:t>
      </w:r>
      <w:proofErr w:type="spellEnd"/>
      <w:r w:rsidRPr="00622D31">
        <w:rPr>
          <w:rFonts w:cs="Arial"/>
          <w:szCs w:val="24"/>
        </w:rPr>
        <w:t xml:space="preserve"> ont complété ceux de Bethe.</w:t>
      </w:r>
    </w:p>
    <w:p w14:paraId="751413A1" w14:textId="77777777" w:rsidR="00622D31" w:rsidRPr="00622D31" w:rsidRDefault="00622D31" w:rsidP="00214118">
      <w:pPr>
        <w:spacing w:after="240"/>
        <w:jc w:val="both"/>
        <w:rPr>
          <w:rFonts w:cs="Arial"/>
          <w:szCs w:val="24"/>
        </w:rPr>
      </w:pPr>
      <w:r w:rsidRPr="00622D31">
        <w:rPr>
          <w:rFonts w:cs="Arial"/>
          <w:b/>
          <w:bCs/>
          <w:szCs w:val="24"/>
        </w:rPr>
        <w:t>3-</w:t>
      </w:r>
      <w:r w:rsidRPr="00622D31">
        <w:rPr>
          <w:rFonts w:cs="Arial"/>
          <w:bCs/>
          <w:szCs w:val="24"/>
        </w:rPr>
        <w:t xml:space="preserve"> </w:t>
      </w:r>
      <w:r w:rsidRPr="00622D31">
        <w:rPr>
          <w:rFonts w:cs="Arial"/>
          <w:szCs w:val="24"/>
        </w:rPr>
        <w:t xml:space="preserve">Expliquer pourquoi la composition de l’Univers à la fin de la nucléosynthèse primordiale diffère de celle du globe terrestre. </w:t>
      </w:r>
    </w:p>
    <w:p w14:paraId="1E420765" w14:textId="1785A71C" w:rsidR="00214118" w:rsidRDefault="00214118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6226390" w14:textId="7952749E" w:rsidR="00622D31" w:rsidRDefault="00622D31" w:rsidP="00622D31">
      <w:pPr>
        <w:jc w:val="center"/>
        <w:rPr>
          <w:rFonts w:cs="Arial"/>
          <w:szCs w:val="24"/>
          <w:u w:val="single"/>
        </w:rPr>
      </w:pPr>
      <w:r w:rsidRPr="00622D31">
        <w:rPr>
          <w:rFonts w:cs="Arial"/>
          <w:szCs w:val="24"/>
          <w:u w:val="single"/>
        </w:rPr>
        <w:lastRenderedPageBreak/>
        <w:t>Partie 2 - Mesure d’une grandeur caractéristique de la Terre : son rayon</w:t>
      </w:r>
    </w:p>
    <w:p w14:paraId="6B50D844" w14:textId="77777777" w:rsidR="00214118" w:rsidRPr="00622D31" w:rsidRDefault="00214118" w:rsidP="00622D31">
      <w:pPr>
        <w:jc w:val="center"/>
        <w:rPr>
          <w:rFonts w:cs="Arial"/>
          <w:szCs w:val="24"/>
          <w:u w:val="single"/>
        </w:rPr>
      </w:pP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622D31" w:rsidRPr="00622D31" w14:paraId="2D8DDAD2" w14:textId="77777777" w:rsidTr="00214118">
        <w:tc>
          <w:tcPr>
            <w:tcW w:w="10206" w:type="dxa"/>
            <w:gridSpan w:val="2"/>
          </w:tcPr>
          <w:p w14:paraId="50527C27" w14:textId="77777777" w:rsidR="00622D31" w:rsidRPr="00622D31" w:rsidRDefault="00622D31" w:rsidP="008A3FB2">
            <w:pPr>
              <w:rPr>
                <w:rFonts w:cs="Arial"/>
                <w:sz w:val="24"/>
                <w:szCs w:val="24"/>
                <w:u w:val="single"/>
              </w:rPr>
            </w:pPr>
            <w:r w:rsidRPr="00622D31">
              <w:rPr>
                <w:rFonts w:cs="Arial"/>
                <w:sz w:val="24"/>
                <w:szCs w:val="24"/>
                <w:u w:val="single"/>
              </w:rPr>
              <w:t>Document 3. La triangulation</w:t>
            </w:r>
          </w:p>
          <w:p w14:paraId="0771D324" w14:textId="77777777" w:rsidR="00622D31" w:rsidRPr="00622D31" w:rsidRDefault="00622D31" w:rsidP="00214118">
            <w:pPr>
              <w:jc w:val="both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En 1792, sur décision de l’Académie des Sciences, deux scientifiques, Pierre Delambre et Jean-Baptiste Méchain sont chargés de déterminer la longueur de la portion du méridien terrestre situé entre Dunkerque et Barcelone.</w:t>
            </w:r>
          </w:p>
          <w:p w14:paraId="34BDBFEE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 xml:space="preserve">Pour y parvenir, ils déterminent avec une très grande précision la distance au sol séparant deux villes (notées A et B dans les figures ci-dessous). </w:t>
            </w:r>
          </w:p>
          <w:p w14:paraId="6E78DB9C" w14:textId="77777777" w:rsidR="00622D31" w:rsidRPr="00622D31" w:rsidRDefault="00622D31" w:rsidP="008A3FB2">
            <w:pPr>
              <w:spacing w:after="240"/>
              <w:rPr>
                <w:rFonts w:cs="Arial"/>
                <w:bCs/>
                <w:sz w:val="24"/>
                <w:szCs w:val="24"/>
                <w:highlight w:val="yellow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 xml:space="preserve">Puis, partant de cette mesure appelée « base », ils forment une chaîne de triangles encadrant la portion du méridien (représenté sur le dessin par le segment [AF]) dont ils souhaitent calculer la longueur. </w:t>
            </w:r>
          </w:p>
        </w:tc>
      </w:tr>
      <w:tr w:rsidR="00622D31" w:rsidRPr="00622D31" w14:paraId="18C47E4B" w14:textId="77777777" w:rsidTr="00622D31">
        <w:tc>
          <w:tcPr>
            <w:tcW w:w="4962" w:type="dxa"/>
          </w:tcPr>
          <w:p w14:paraId="3139C837" w14:textId="77777777" w:rsidR="00622D31" w:rsidRPr="00622D31" w:rsidRDefault="00622D31" w:rsidP="00622D31">
            <w:pPr>
              <w:jc w:val="center"/>
              <w:rPr>
                <w:rFonts w:cs="Arial"/>
                <w:bCs/>
                <w:sz w:val="24"/>
                <w:szCs w:val="24"/>
                <w:u w:val="single"/>
              </w:rPr>
            </w:pPr>
            <w:r w:rsidRPr="00622D31">
              <w:rPr>
                <w:rFonts w:cs="Arial"/>
                <w:bCs/>
                <w:sz w:val="24"/>
                <w:szCs w:val="24"/>
                <w:u w:val="single"/>
              </w:rPr>
              <w:t>Figure 3a : exemple de chaines de triangles encadrant la portion de méridien [AF]</w:t>
            </w:r>
          </w:p>
        </w:tc>
        <w:tc>
          <w:tcPr>
            <w:tcW w:w="5244" w:type="dxa"/>
          </w:tcPr>
          <w:p w14:paraId="10C2B5C8" w14:textId="77777777" w:rsidR="00622D31" w:rsidRPr="00622D31" w:rsidRDefault="00622D31" w:rsidP="00622D31">
            <w:pPr>
              <w:jc w:val="center"/>
              <w:rPr>
                <w:rFonts w:cs="Arial"/>
                <w:bCs/>
                <w:noProof/>
                <w:sz w:val="24"/>
                <w:szCs w:val="24"/>
                <w:u w:val="single"/>
              </w:rPr>
            </w:pPr>
            <w:r w:rsidRPr="00622D31">
              <w:rPr>
                <w:rFonts w:cs="Arial"/>
                <w:sz w:val="24"/>
                <w:szCs w:val="24"/>
                <w:u w:val="single"/>
              </w:rPr>
              <w:t>Figure 3b : extrait de la chaine de triangles</w:t>
            </w:r>
          </w:p>
        </w:tc>
      </w:tr>
      <w:tr w:rsidR="00622D31" w:rsidRPr="00622D31" w14:paraId="37F83BEF" w14:textId="77777777" w:rsidTr="00622D31">
        <w:trPr>
          <w:trHeight w:val="4088"/>
        </w:trPr>
        <w:tc>
          <w:tcPr>
            <w:tcW w:w="4962" w:type="dxa"/>
            <w:tcBorders>
              <w:bottom w:val="single" w:sz="4" w:space="0" w:color="auto"/>
            </w:tcBorders>
          </w:tcPr>
          <w:p w14:paraId="452DC568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  <w:r w:rsidRPr="00622D31">
              <w:rPr>
                <w:rFonts w:cs="Arial"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anchor distT="0" distB="0" distL="114300" distR="114300" simplePos="0" relativeHeight="251659264" behindDoc="1" locked="0" layoutInCell="1" allowOverlap="1" wp14:anchorId="16A1D002" wp14:editId="58B58B0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0</wp:posOffset>
                  </wp:positionV>
                  <wp:extent cx="1704975" cy="2664460"/>
                  <wp:effectExtent l="0" t="0" r="9525" b="2540"/>
                  <wp:wrapTight wrapText="bothSides">
                    <wp:wrapPolygon edited="0">
                      <wp:start x="0" y="0"/>
                      <wp:lineTo x="0" y="21466"/>
                      <wp:lineTo x="21479" y="21466"/>
                      <wp:lineTo x="21479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FB0F89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458FABB3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33BABCF5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1DEFCF0F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13E733F1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27C04E96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1793A683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1667B726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23E9F231" w14:textId="77777777" w:rsidR="00622D31" w:rsidRP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07EF8A14" w14:textId="77777777" w:rsidR="00622D31" w:rsidRDefault="00622D31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55D4B148" w14:textId="77777777" w:rsidR="00214118" w:rsidRDefault="00214118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71D79394" w14:textId="77777777" w:rsidR="00214118" w:rsidRDefault="00214118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6374223D" w14:textId="77777777" w:rsidR="00214118" w:rsidRDefault="00214118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  <w:p w14:paraId="60FCFCEB" w14:textId="76458109" w:rsidR="00214118" w:rsidRPr="00622D31" w:rsidRDefault="00214118" w:rsidP="008A3FB2">
            <w:pPr>
              <w:rPr>
                <w:rFonts w:cs="Arial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647FA946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08DBD79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8AA72AC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DFDEE4D" w14:textId="77777777" w:rsidR="00622D31" w:rsidRPr="00622D31" w:rsidRDefault="00622D31" w:rsidP="008A3FB2">
            <w:pPr>
              <w:jc w:val="center"/>
              <w:rPr>
                <w:rFonts w:cs="Arial"/>
                <w:sz w:val="24"/>
                <w:szCs w:val="24"/>
              </w:rPr>
            </w:pPr>
            <w:r w:rsidRPr="00622D31">
              <w:rPr>
                <w:noProof/>
                <w:sz w:val="24"/>
                <w:szCs w:val="24"/>
              </w:rPr>
              <w:drawing>
                <wp:inline distT="0" distB="0" distL="0" distR="0" wp14:anchorId="47A3957C" wp14:editId="69AA9F3E">
                  <wp:extent cx="2220677" cy="1962150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547" cy="196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BD432" w14:textId="77777777" w:rsidR="00622D31" w:rsidRPr="00622D31" w:rsidRDefault="00622D31" w:rsidP="008A3FB2">
            <w:pPr>
              <w:rPr>
                <w:rFonts w:cs="Arial"/>
                <w:sz w:val="24"/>
                <w:szCs w:val="24"/>
                <w:highlight w:val="yellow"/>
              </w:rPr>
            </w:pPr>
          </w:p>
        </w:tc>
      </w:tr>
      <w:tr w:rsidR="00622D31" w:rsidRPr="00622D31" w14:paraId="6FC79475" w14:textId="77777777" w:rsidTr="00622D31">
        <w:tc>
          <w:tcPr>
            <w:tcW w:w="10206" w:type="dxa"/>
            <w:gridSpan w:val="2"/>
            <w:tcBorders>
              <w:bottom w:val="nil"/>
            </w:tcBorders>
          </w:tcPr>
          <w:p w14:paraId="49201B64" w14:textId="71CF6760" w:rsidR="00622D31" w:rsidRPr="00622D31" w:rsidRDefault="00622D31" w:rsidP="008A3FB2">
            <w:pPr>
              <w:rPr>
                <w:rFonts w:cs="Arial"/>
                <w:sz w:val="24"/>
                <w:szCs w:val="24"/>
              </w:rPr>
            </w:pPr>
            <w:r w:rsidRPr="00622D31">
              <w:rPr>
                <w:rFonts w:cs="Arial"/>
                <w:sz w:val="24"/>
                <w:szCs w:val="24"/>
              </w:rPr>
              <w:t>Donnée : la loi des sinus</w:t>
            </w:r>
          </w:p>
        </w:tc>
      </w:tr>
      <w:tr w:rsidR="00622D31" w:rsidRPr="00622D31" w14:paraId="5D7DC909" w14:textId="77777777" w:rsidTr="00622D31">
        <w:tc>
          <w:tcPr>
            <w:tcW w:w="10206" w:type="dxa"/>
            <w:gridSpan w:val="2"/>
            <w:tcBorders>
              <w:top w:val="nil"/>
            </w:tcBorders>
          </w:tcPr>
          <w:p w14:paraId="56973122" w14:textId="77777777" w:rsidR="00622D31" w:rsidRPr="00622D31" w:rsidRDefault="00622D31" w:rsidP="008A3FB2">
            <w:pPr>
              <w:spacing w:before="240"/>
              <w:rPr>
                <w:rFonts w:cs="Arial"/>
                <w:bCs/>
                <w:sz w:val="24"/>
                <w:szCs w:val="24"/>
              </w:rPr>
            </w:pPr>
            <w:r w:rsidRPr="00622D31">
              <w:rPr>
                <w:rFonts w:cs="Arial"/>
                <w:bCs/>
                <w:sz w:val="24"/>
                <w:szCs w:val="24"/>
              </w:rPr>
              <w:t>Dans un triangle ABC quelconque, les angles et les longueurs des côtés sont liés par la relation suivante, connue sous le nom de loi des sinus 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22D31" w:rsidRPr="00622D31" w14:paraId="679CE942" w14:textId="77777777" w:rsidTr="008A3FB2">
              <w:tc>
                <w:tcPr>
                  <w:tcW w:w="4531" w:type="dxa"/>
                </w:tcPr>
                <w:p w14:paraId="0144BD19" w14:textId="77777777" w:rsidR="00622D31" w:rsidRPr="00622D31" w:rsidRDefault="00622D31" w:rsidP="008A3FB2">
                  <w:pPr>
                    <w:spacing w:after="240"/>
                    <w:rPr>
                      <w:rFonts w:cs="Arial"/>
                      <w:bCs/>
                      <w:sz w:val="24"/>
                      <w:szCs w:val="24"/>
                    </w:rPr>
                  </w:pPr>
                  <w:r w:rsidRPr="00622D31">
                    <w:rPr>
                      <w:rFonts w:eastAsiaTheme="minorEastAsia" w:cs="Arial"/>
                      <w:bCs/>
                      <w:noProof/>
                      <w:color w:val="2B579A"/>
                      <w:sz w:val="24"/>
                      <w:szCs w:val="24"/>
                      <w:shd w:val="clear" w:color="auto" w:fill="E6E6E6"/>
                    </w:rPr>
                    <w:drawing>
                      <wp:inline distT="0" distB="0" distL="0" distR="0" wp14:anchorId="51AC0EA0" wp14:editId="50B9E8B1">
                        <wp:extent cx="2420867" cy="1621917"/>
                        <wp:effectExtent l="0" t="0" r="5080" b="381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066" cy="163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1" w:type="dxa"/>
                </w:tcPr>
                <w:p w14:paraId="45171018" w14:textId="77777777" w:rsidR="00622D31" w:rsidRPr="00622D31" w:rsidRDefault="00622D31" w:rsidP="008A3FB2">
                  <w:pPr>
                    <w:rPr>
                      <w:rFonts w:eastAsiaTheme="minorEastAsia" w:cs="Arial"/>
                      <w:bCs/>
                      <w:sz w:val="24"/>
                      <w:szCs w:val="24"/>
                    </w:rPr>
                  </w:pPr>
                </w:p>
                <w:p w14:paraId="20D14269" w14:textId="77777777" w:rsidR="00622D31" w:rsidRPr="00622D31" w:rsidRDefault="00622D31" w:rsidP="008A3FB2">
                  <w:pPr>
                    <w:rPr>
                      <w:rFonts w:eastAsiaTheme="minorEastAsia" w:cs="Arial"/>
                      <w:bCs/>
                      <w:sz w:val="24"/>
                      <w:szCs w:val="24"/>
                    </w:rPr>
                  </w:pPr>
                </w:p>
                <w:p w14:paraId="16ED8559" w14:textId="77777777" w:rsidR="00622D31" w:rsidRPr="00622D31" w:rsidRDefault="00622D31" w:rsidP="008A3FB2">
                  <w:pPr>
                    <w:rPr>
                      <w:rFonts w:eastAsiaTheme="minorEastAsia" w:cs="Arial"/>
                      <w:bCs/>
                      <w:sz w:val="24"/>
                      <w:szCs w:val="24"/>
                    </w:rPr>
                  </w:pPr>
                </w:p>
                <w:p w14:paraId="31215A96" w14:textId="77777777" w:rsidR="00622D31" w:rsidRPr="00622D31" w:rsidRDefault="00622D31" w:rsidP="008A3FB2">
                  <w:pPr>
                    <w:rPr>
                      <w:rFonts w:cs="Arial"/>
                      <w:bCs/>
                      <w:sz w:val="24"/>
                      <w:szCs w:val="24"/>
                      <w:lang w:val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>AB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 xml:space="preserve">sin 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</w:rPr>
                            <m:t>γ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cs="Arial"/>
                          <w:bCs/>
                          <w:sz w:val="24"/>
                          <w:szCs w:val="24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>BC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 xml:space="preserve">sin 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</w:rPr>
                            <m:t>α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cs="Arial"/>
                          <w:bCs/>
                          <w:sz w:val="24"/>
                          <w:szCs w:val="24"/>
                          <w:lang w:val="de-DE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>AC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  <w:lang w:val="de-DE"/>
                            </w:rPr>
                            <m:t xml:space="preserve">sin 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bCs/>
                              <w:sz w:val="24"/>
                              <w:szCs w:val="24"/>
                            </w:rPr>
                            <m:t>β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de-DE"/>
                        </w:rPr>
                        <m:t xml:space="preserve">  </m:t>
                      </m:r>
                    </m:oMath>
                  </m:oMathPara>
                </w:p>
              </w:tc>
            </w:tr>
          </w:tbl>
          <w:p w14:paraId="09AD6EBC" w14:textId="77777777" w:rsidR="00622D31" w:rsidRPr="00622D31" w:rsidRDefault="00622D31" w:rsidP="008A3FB2">
            <w:pPr>
              <w:jc w:val="center"/>
              <w:rPr>
                <w:rFonts w:cs="Arial"/>
                <w:bCs/>
                <w:sz w:val="24"/>
                <w:szCs w:val="24"/>
                <w:lang w:val="en-US"/>
              </w:rPr>
            </w:pPr>
          </w:p>
        </w:tc>
      </w:tr>
    </w:tbl>
    <w:p w14:paraId="466C41EC" w14:textId="77777777" w:rsidR="00622D31" w:rsidRPr="00622D31" w:rsidRDefault="00622D31" w:rsidP="00622D31">
      <w:pPr>
        <w:spacing w:after="240"/>
        <w:rPr>
          <w:rFonts w:cs="Arial"/>
          <w:szCs w:val="24"/>
        </w:rPr>
      </w:pPr>
      <w:r w:rsidRPr="00622D31">
        <w:rPr>
          <w:rFonts w:cs="Arial"/>
          <w:b/>
          <w:bCs/>
          <w:szCs w:val="24"/>
        </w:rPr>
        <w:t>4-</w:t>
      </w:r>
      <w:r w:rsidRPr="00622D31">
        <w:rPr>
          <w:rFonts w:cs="Arial"/>
          <w:bCs/>
          <w:szCs w:val="24"/>
        </w:rPr>
        <w:t xml:space="preserve"> </w:t>
      </w:r>
      <w:r w:rsidRPr="00622D31">
        <w:rPr>
          <w:rFonts w:cs="Arial"/>
          <w:szCs w:val="24"/>
        </w:rPr>
        <w:t>Faire un schéma légendé du globe terrestre en faisant apparaitre un méridien et un parallèle.</w:t>
      </w:r>
    </w:p>
    <w:p w14:paraId="5A037A9E" w14:textId="77777777" w:rsidR="00622D31" w:rsidRPr="00622D31" w:rsidRDefault="00622D31" w:rsidP="00622D31">
      <w:pPr>
        <w:spacing w:after="240"/>
        <w:rPr>
          <w:rFonts w:cs="Arial"/>
          <w:szCs w:val="24"/>
        </w:rPr>
      </w:pPr>
      <w:r w:rsidRPr="00622D31">
        <w:rPr>
          <w:rFonts w:cs="Arial"/>
          <w:b/>
          <w:bCs/>
          <w:szCs w:val="24"/>
        </w:rPr>
        <w:t>5-</w:t>
      </w:r>
      <w:r w:rsidRPr="00622D31">
        <w:rPr>
          <w:rFonts w:cs="Arial"/>
          <w:bCs/>
          <w:szCs w:val="24"/>
        </w:rPr>
        <w:t xml:space="preserve"> </w:t>
      </w:r>
      <w:r w:rsidRPr="00622D31">
        <w:rPr>
          <w:rFonts w:cs="Arial"/>
          <w:szCs w:val="24"/>
        </w:rPr>
        <w:t>Répondre aux questions suivantes en utilisant la figure 3b du document 3 :</w:t>
      </w:r>
    </w:p>
    <w:p w14:paraId="5283D737" w14:textId="77777777" w:rsidR="00622D31" w:rsidRPr="00622D31" w:rsidRDefault="00622D31" w:rsidP="00622D31">
      <w:pPr>
        <w:pStyle w:val="Paragraphedeliste"/>
        <w:spacing w:after="240"/>
        <w:ind w:left="708"/>
        <w:rPr>
          <w:rFonts w:ascii="Arial" w:eastAsiaTheme="minorEastAsia" w:hAnsi="Arial" w:cs="Arial"/>
          <w:sz w:val="24"/>
          <w:szCs w:val="24"/>
        </w:rPr>
      </w:pPr>
      <w:r w:rsidRPr="00622D31">
        <w:rPr>
          <w:rFonts w:ascii="Arial" w:hAnsi="Arial" w:cs="Arial"/>
          <w:b/>
          <w:bCs/>
          <w:sz w:val="24"/>
          <w:szCs w:val="24"/>
        </w:rPr>
        <w:t>5-a-</w:t>
      </w:r>
      <w:r w:rsidRPr="00622D31">
        <w:rPr>
          <w:rFonts w:ascii="Arial" w:hAnsi="Arial" w:cs="Arial"/>
          <w:sz w:val="24"/>
          <w:szCs w:val="24"/>
        </w:rPr>
        <w:t xml:space="preserve"> Montrer que l’angle </w:t>
      </w:r>
      <m:oMath>
        <m:r>
          <w:rPr>
            <w:rFonts w:ascii="Cambria Math" w:hAnsi="Cambria Math" w:cs="Arial"/>
            <w:sz w:val="24"/>
            <w:szCs w:val="24"/>
          </w:rPr>
          <m:t>γ</m:t>
        </m:r>
      </m:oMath>
      <w:r w:rsidRPr="00622D31">
        <w:rPr>
          <w:rFonts w:ascii="Arial" w:hAnsi="Arial" w:cs="Arial"/>
          <w:sz w:val="24"/>
          <w:szCs w:val="24"/>
        </w:rPr>
        <w:t xml:space="preserve"> </w:t>
      </w:r>
      <w:r w:rsidRPr="00622D31">
        <w:rPr>
          <w:rFonts w:ascii="Arial" w:eastAsiaTheme="minorEastAsia" w:hAnsi="Arial" w:cs="Arial"/>
          <w:sz w:val="24"/>
          <w:szCs w:val="24"/>
        </w:rPr>
        <w:t>mesure 38,27°.</w:t>
      </w:r>
    </w:p>
    <w:p w14:paraId="26E42E53" w14:textId="77777777" w:rsidR="00622D31" w:rsidRPr="00622D31" w:rsidRDefault="00622D31" w:rsidP="00214118">
      <w:pPr>
        <w:pStyle w:val="Paragraphedeliste"/>
        <w:spacing w:after="0"/>
        <w:ind w:left="709"/>
        <w:rPr>
          <w:rFonts w:ascii="Arial" w:hAnsi="Arial" w:cs="Arial"/>
          <w:sz w:val="24"/>
          <w:szCs w:val="24"/>
        </w:rPr>
      </w:pPr>
      <w:r w:rsidRPr="00622D31">
        <w:rPr>
          <w:rFonts w:ascii="Arial" w:hAnsi="Arial" w:cs="Arial"/>
          <w:b/>
          <w:bCs/>
          <w:sz w:val="24"/>
          <w:szCs w:val="24"/>
        </w:rPr>
        <w:t>5-b-</w:t>
      </w:r>
      <w:r w:rsidRPr="00622D31">
        <w:rPr>
          <w:rFonts w:ascii="Arial" w:hAnsi="Arial" w:cs="Arial"/>
          <w:sz w:val="24"/>
          <w:szCs w:val="24"/>
        </w:rPr>
        <w:t xml:space="preserve"> La longueur AB est égale à 7 km. Utiliser la méthode de triangulation pour montrer que la longueur AC est égale à 9,1 km.</w:t>
      </w:r>
    </w:p>
    <w:p w14:paraId="1AD1FBB9" w14:textId="77777777" w:rsidR="00622D31" w:rsidRPr="00622D31" w:rsidRDefault="00622D31" w:rsidP="00214118">
      <w:pPr>
        <w:spacing w:after="120"/>
        <w:ind w:left="709"/>
        <w:rPr>
          <w:rFonts w:eastAsiaTheme="minorEastAsia" w:cs="Arial"/>
          <w:szCs w:val="24"/>
        </w:rPr>
      </w:pPr>
      <w:r w:rsidRPr="00622D31">
        <w:rPr>
          <w:rFonts w:cs="Arial"/>
          <w:b/>
          <w:bCs/>
          <w:szCs w:val="24"/>
        </w:rPr>
        <w:t>5-c-</w:t>
      </w:r>
      <w:r w:rsidRPr="00622D31">
        <w:rPr>
          <w:rFonts w:cs="Arial"/>
          <w:bCs/>
          <w:szCs w:val="24"/>
        </w:rPr>
        <w:t xml:space="preserve"> </w:t>
      </w:r>
      <w:r w:rsidRPr="00622D31">
        <w:rPr>
          <w:rFonts w:cs="Arial"/>
          <w:szCs w:val="24"/>
        </w:rPr>
        <w:t xml:space="preserve">Une autre série de mesures montre que l’angle </w:t>
      </w:r>
      <m:oMath>
        <m:acc>
          <m:accPr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nor/>
              </m:rPr>
              <w:rPr>
                <w:rFonts w:cs="Arial"/>
                <w:szCs w:val="24"/>
              </w:rPr>
              <m:t>CAG</m:t>
            </m:r>
          </m:e>
        </m:acc>
      </m:oMath>
      <w:r w:rsidRPr="00622D31">
        <w:rPr>
          <w:rFonts w:cs="Arial"/>
          <w:szCs w:val="24"/>
        </w:rPr>
        <w:t xml:space="preserve"> </w:t>
      </w:r>
      <w:r w:rsidRPr="00622D31">
        <w:rPr>
          <w:rFonts w:eastAsiaTheme="minorEastAsia" w:cs="Arial"/>
          <w:szCs w:val="24"/>
        </w:rPr>
        <w:t xml:space="preserve">mesure 39,26°. Déduire des valeurs précédentes la longueur du segment </w:t>
      </w:r>
      <m:oMath>
        <m:r>
          <w:rPr>
            <w:rFonts w:ascii="Cambria Math" w:eastAsiaTheme="minorEastAsia" w:hAnsi="Cambria Math" w:cs="Arial"/>
            <w:szCs w:val="24"/>
          </w:rPr>
          <m:t>[</m:t>
        </m:r>
      </m:oMath>
      <w:r w:rsidRPr="00622D31">
        <w:rPr>
          <w:rFonts w:eastAsiaTheme="minorEastAsia" w:cs="Arial"/>
          <w:szCs w:val="24"/>
        </w:rPr>
        <w:t>AG</w:t>
      </w:r>
      <m:oMath>
        <m:r>
          <w:rPr>
            <w:rFonts w:ascii="Cambria Math" w:eastAsiaTheme="minorEastAsia" w:hAnsi="Cambria Math" w:cs="Arial"/>
            <w:szCs w:val="24"/>
          </w:rPr>
          <m:t>]</m:t>
        </m:r>
      </m:oMath>
      <w:r w:rsidRPr="00622D31">
        <w:rPr>
          <w:rFonts w:eastAsiaTheme="minorEastAsia" w:cs="Arial"/>
          <w:szCs w:val="24"/>
        </w:rPr>
        <w:t>, qui est une portion de méridien.</w:t>
      </w:r>
    </w:p>
    <w:p w14:paraId="1B2DE42C" w14:textId="1814D22B" w:rsidR="00CA0DF4" w:rsidRPr="00214118" w:rsidRDefault="00622D31" w:rsidP="004061CB">
      <w:pPr>
        <w:rPr>
          <w:szCs w:val="24"/>
        </w:rPr>
      </w:pPr>
      <w:r w:rsidRPr="00622D31">
        <w:rPr>
          <w:rFonts w:cs="Arial"/>
          <w:b/>
          <w:bCs/>
          <w:szCs w:val="24"/>
        </w:rPr>
        <w:t>6-</w:t>
      </w:r>
      <w:r w:rsidRPr="00622D31">
        <w:rPr>
          <w:rFonts w:cs="Arial"/>
          <w:bCs/>
          <w:szCs w:val="24"/>
        </w:rPr>
        <w:t xml:space="preserve"> </w:t>
      </w:r>
      <w:r w:rsidRPr="00622D31">
        <w:rPr>
          <w:rFonts w:cs="Arial"/>
          <w:szCs w:val="24"/>
        </w:rPr>
        <w:t>Aujourd’hui, des mesures par satellites montrent que la longueur du méridien terrestre est égale à 40 000 km. En déduire la longueur du rayon de la Terre.</w:t>
      </w:r>
    </w:p>
    <w:sectPr w:rsidR="00CA0DF4" w:rsidRPr="0021411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3CF18FC7-07DC-4971-97C5-2FDEB0C3BF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A4A9F6-5B7F-4AAD-AE18-4E60135668F4}"/>
    <w:embedItalic r:id="rId3" w:fontKey="{4AF5C24E-1987-440C-9255-DF2868B27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21216B"/>
    <w:rsid w:val="00214118"/>
    <w:rsid w:val="00290B46"/>
    <w:rsid w:val="0030164E"/>
    <w:rsid w:val="00336093"/>
    <w:rsid w:val="003B05DB"/>
    <w:rsid w:val="004061CB"/>
    <w:rsid w:val="004468F1"/>
    <w:rsid w:val="0045319B"/>
    <w:rsid w:val="005377FE"/>
    <w:rsid w:val="00577639"/>
    <w:rsid w:val="0059619F"/>
    <w:rsid w:val="00622D31"/>
    <w:rsid w:val="006A36CD"/>
    <w:rsid w:val="00874167"/>
    <w:rsid w:val="00902983"/>
    <w:rsid w:val="00985BBF"/>
    <w:rsid w:val="00986F51"/>
    <w:rsid w:val="00B21A0F"/>
    <w:rsid w:val="00B507E8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22D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651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</cp:lastModifiedBy>
  <cp:revision>3</cp:revision>
  <dcterms:created xsi:type="dcterms:W3CDTF">2020-06-01T21:17:00Z</dcterms:created>
  <dcterms:modified xsi:type="dcterms:W3CDTF">2020-06-01T21:22:00Z</dcterms:modified>
</cp:coreProperties>
</file>