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1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178E" w14:paraId="4713D40A" w14:textId="77777777" w:rsidTr="00251A1A">
        <w:tc>
          <w:tcPr>
            <w:tcW w:w="10031" w:type="dxa"/>
          </w:tcPr>
          <w:p w14:paraId="196BEECF" w14:textId="50B5661F" w:rsidR="0089178E" w:rsidRDefault="0089178E" w:rsidP="00251A1A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A34416">
              <w:rPr>
                <w:rFonts w:eastAsia="Times New Roman"/>
                <w:b/>
                <w:szCs w:val="22"/>
              </w:rPr>
              <w:tab/>
              <w:t>2020</w:t>
            </w:r>
          </w:p>
          <w:p w14:paraId="69F069B2" w14:textId="218917AF" w:rsidR="00A34416" w:rsidRDefault="00276421" w:rsidP="00251A1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hyperlink r:id="rId7" w:history="1">
              <w:r w:rsidR="00A34416" w:rsidRPr="00B17790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A34416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51A1A">
        <w:tc>
          <w:tcPr>
            <w:tcW w:w="10031" w:type="dxa"/>
          </w:tcPr>
          <w:p w14:paraId="2EF13902" w14:textId="57DB86C8" w:rsidR="0089178E" w:rsidRPr="00893F38" w:rsidRDefault="0089178E" w:rsidP="00251A1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2992A889" w:rsidR="0089178E" w:rsidRPr="00626E0F" w:rsidRDefault="0089178E" w:rsidP="00251A1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15CFEB51" w:rsidR="0089178E" w:rsidRPr="00A34416" w:rsidRDefault="0089178E" w:rsidP="00EB6A44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EB6A44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484B48">
              <w:rPr>
                <w:rFonts w:eastAsia="Times New Roman"/>
                <w:b/>
                <w:color w:val="FFFFFF" w:themeColor="background1"/>
                <w:sz w:val="20"/>
                <w:szCs w:val="22"/>
                <w:highlight w:val="black"/>
              </w:rPr>
              <w:t>CALCULATRICE AUTORIS</w:t>
            </w:r>
            <w:r w:rsidRPr="00484B48">
              <w:rPr>
                <w:rFonts w:eastAsia="Times New Roman" w:cs="Arial"/>
                <w:b/>
                <w:color w:val="FFFFFF" w:themeColor="background1"/>
                <w:sz w:val="20"/>
                <w:szCs w:val="22"/>
                <w:highlight w:val="black"/>
              </w:rPr>
              <w:t xml:space="preserve">ÉE </w:t>
            </w:r>
            <w:r w:rsidRPr="00484B48">
              <w:rPr>
                <w:rFonts w:eastAsia="Times New Roman"/>
                <w:b/>
                <w:color w:val="FFFFFF" w:themeColor="background1"/>
                <w:sz w:val="20"/>
                <w:szCs w:val="22"/>
                <w:highlight w:val="black"/>
              </w:rPr>
              <w:t xml:space="preserve">: </w:t>
            </w:r>
            <w:sdt>
              <w:sdtPr>
                <w:rPr>
                  <w:rFonts w:eastAsia="Times New Roman"/>
                  <w:b/>
                  <w:color w:val="FFFFFF" w:themeColor="background1"/>
                  <w:sz w:val="20"/>
                  <w:szCs w:val="22"/>
                  <w:highlight w:val="black"/>
                </w:rPr>
                <w:id w:val="9887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 w:rsidRPr="00484B48">
                  <w:rPr>
                    <w:rFonts w:ascii="MS Gothic" w:eastAsia="MS Gothic" w:hAnsi="MS Gothic" w:hint="eastAsia"/>
                    <w:b/>
                    <w:color w:val="FFFFFF" w:themeColor="background1"/>
                    <w:sz w:val="20"/>
                    <w:szCs w:val="22"/>
                    <w:highlight w:val="black"/>
                  </w:rPr>
                  <w:t>☐</w:t>
                </w:r>
              </w:sdtContent>
            </w:sdt>
            <w:r w:rsidRPr="00484B48">
              <w:rPr>
                <w:rFonts w:eastAsia="Times New Roman"/>
                <w:b/>
                <w:color w:val="FFFFFF" w:themeColor="background1"/>
                <w:sz w:val="20"/>
                <w:szCs w:val="22"/>
                <w:highlight w:val="black"/>
              </w:rPr>
              <w:t xml:space="preserve">Oui  </w:t>
            </w:r>
            <w:sdt>
              <w:sdtPr>
                <w:rPr>
                  <w:rFonts w:eastAsia="Times New Roman"/>
                  <w:b/>
                  <w:color w:val="FFFFFF" w:themeColor="background1"/>
                  <w:sz w:val="20"/>
                  <w:szCs w:val="22"/>
                  <w:highlight w:val="black"/>
                </w:rPr>
                <w:id w:val="-63190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A1A" w:rsidRPr="00484B48">
                  <w:rPr>
                    <w:rFonts w:ascii="MS Gothic" w:eastAsia="MS Gothic" w:hAnsi="MS Gothic" w:hint="eastAsia"/>
                    <w:b/>
                    <w:color w:val="FFFFFF" w:themeColor="background1"/>
                    <w:sz w:val="20"/>
                    <w:szCs w:val="22"/>
                    <w:highlight w:val="black"/>
                  </w:rPr>
                  <w:t>☒</w:t>
                </w:r>
              </w:sdtContent>
            </w:sdt>
            <w:r w:rsidRPr="00484B48">
              <w:rPr>
                <w:rFonts w:eastAsia="Times New Roman"/>
                <w:b/>
                <w:color w:val="FFFFFF" w:themeColor="background1"/>
                <w:sz w:val="20"/>
                <w:szCs w:val="22"/>
                <w:highlight w:val="black"/>
              </w:rPr>
              <w:t xml:space="preserve"> Non</w:t>
            </w:r>
          </w:p>
        </w:tc>
      </w:tr>
    </w:tbl>
    <w:p w14:paraId="19D122B0" w14:textId="77777777" w:rsidR="007B6E78" w:rsidRDefault="007B6E78" w:rsidP="00916AC7">
      <w:pPr>
        <w:ind w:left="0"/>
        <w:jc w:val="center"/>
        <w:rPr>
          <w:rFonts w:cs="Arial"/>
          <w:b/>
          <w:bCs/>
        </w:rPr>
      </w:pPr>
    </w:p>
    <w:p w14:paraId="53A3F453" w14:textId="14624A82" w:rsidR="00251A1A" w:rsidRPr="00B3510C" w:rsidRDefault="00251A1A" w:rsidP="00916AC7">
      <w:pPr>
        <w:ind w:left="0"/>
        <w:jc w:val="center"/>
        <w:rPr>
          <w:rFonts w:cs="Arial"/>
          <w:b/>
          <w:bCs/>
        </w:rPr>
      </w:pPr>
      <w:r w:rsidRPr="00B3510C">
        <w:rPr>
          <w:rFonts w:cs="Arial"/>
          <w:b/>
          <w:bCs/>
        </w:rPr>
        <w:t>Synthèse de la menthone à partir du menthol (10 points)</w:t>
      </w:r>
    </w:p>
    <w:p w14:paraId="53E0FCFA" w14:textId="77777777" w:rsidR="00251A1A" w:rsidRDefault="00251A1A" w:rsidP="00746651">
      <w:pPr>
        <w:spacing w:after="0"/>
        <w:ind w:left="0" w:right="107"/>
        <w:jc w:val="both"/>
        <w:rPr>
          <w:rFonts w:cs="Arial"/>
        </w:rPr>
      </w:pPr>
      <w:r w:rsidRPr="00B3510C">
        <w:rPr>
          <w:rFonts w:cs="Arial"/>
        </w:rPr>
        <w:t>Le menthol et la menthone sont deux espèces chimiques organiques présentes dans certaines espèces de menthe.</w:t>
      </w:r>
      <w:r>
        <w:rPr>
          <w:rFonts w:cs="Arial"/>
        </w:rPr>
        <w:t xml:space="preserve"> </w:t>
      </w:r>
    </w:p>
    <w:p w14:paraId="7955E114" w14:textId="77777777" w:rsidR="00251A1A" w:rsidRPr="00B3510C" w:rsidRDefault="00251A1A" w:rsidP="00746651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 xml:space="preserve">Le menthol (2-isopropyl-5-méthylcyclohexan-1-ol) </w:t>
      </w:r>
      <w:r>
        <w:rPr>
          <w:rFonts w:cs="Arial"/>
        </w:rPr>
        <w:t xml:space="preserve">est </w:t>
      </w:r>
      <w:r w:rsidRPr="00B3510C">
        <w:rPr>
          <w:rFonts w:cs="Arial"/>
        </w:rPr>
        <w:t xml:space="preserve">utilisé fréquemment dans </w:t>
      </w:r>
      <w:r>
        <w:rPr>
          <w:rFonts w:cs="Arial"/>
        </w:rPr>
        <w:t xml:space="preserve">les industries agroalimentaire, </w:t>
      </w:r>
      <w:r w:rsidRPr="00B3510C">
        <w:rPr>
          <w:rFonts w:cs="Arial"/>
        </w:rPr>
        <w:t>pharmaceutique et cosmétique.</w:t>
      </w:r>
    </w:p>
    <w:p w14:paraId="6EA8A96F" w14:textId="77777777" w:rsidR="00251A1A" w:rsidRDefault="00251A1A" w:rsidP="00746651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>La menthone (2-isopropyl-5-méthylcyclohenan-1-one) entre dans la composition de certains parfums et arômes naturels</w:t>
      </w:r>
      <w:r>
        <w:rPr>
          <w:rFonts w:cs="Arial"/>
        </w:rPr>
        <w:t xml:space="preserve"> ; elle </w:t>
      </w:r>
      <w:r w:rsidRPr="00B3510C">
        <w:rPr>
          <w:rFonts w:cs="Arial"/>
        </w:rPr>
        <w:t>est obtenue par oxydation</w:t>
      </w:r>
      <w:r>
        <w:rPr>
          <w:rFonts w:cs="Arial"/>
        </w:rPr>
        <w:t>,</w:t>
      </w:r>
      <w:r w:rsidRPr="00B3510C">
        <w:rPr>
          <w:rFonts w:cs="Arial"/>
        </w:rPr>
        <w:t xml:space="preserve"> en milieu acide</w:t>
      </w:r>
      <w:r>
        <w:rPr>
          <w:rFonts w:cs="Arial"/>
        </w:rPr>
        <w:t>,</w:t>
      </w:r>
      <w:r w:rsidRPr="00B3510C">
        <w:rPr>
          <w:rFonts w:cs="Arial"/>
        </w:rPr>
        <w:t xml:space="preserve"> du menthol.  </w:t>
      </w:r>
    </w:p>
    <w:p w14:paraId="5778FA30" w14:textId="77777777" w:rsidR="00251A1A" w:rsidRDefault="00251A1A" w:rsidP="00251A1A">
      <w:pPr>
        <w:spacing w:after="0"/>
        <w:ind w:left="0"/>
        <w:rPr>
          <w:rFonts w:cs="Arial"/>
        </w:rPr>
      </w:pPr>
    </w:p>
    <w:p w14:paraId="5722EECF" w14:textId="77777777" w:rsidR="00251A1A" w:rsidRDefault="00251A1A" w:rsidP="00746651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 xml:space="preserve">Dans cet exercice, on s’intéresse à </w:t>
      </w:r>
      <w:r>
        <w:rPr>
          <w:rFonts w:cs="Arial"/>
        </w:rPr>
        <w:t xml:space="preserve">la </w:t>
      </w:r>
      <w:r w:rsidRPr="00B3510C">
        <w:rPr>
          <w:rFonts w:cs="Arial"/>
        </w:rPr>
        <w:t>synthèse</w:t>
      </w:r>
      <w:r>
        <w:rPr>
          <w:rFonts w:cs="Arial"/>
        </w:rPr>
        <w:t xml:space="preserve"> de la menthone à partir du menthol</w:t>
      </w:r>
      <w:r w:rsidRPr="00B3510C">
        <w:rPr>
          <w:rFonts w:cs="Arial"/>
        </w:rPr>
        <w:t>, réalisable au laboratoire du lycée</w:t>
      </w:r>
      <w:r>
        <w:rPr>
          <w:rFonts w:cs="Arial"/>
        </w:rPr>
        <w:t>.</w:t>
      </w:r>
    </w:p>
    <w:p w14:paraId="72306033" w14:textId="77777777" w:rsidR="00251A1A" w:rsidRPr="001410A8" w:rsidRDefault="00251A1A" w:rsidP="00251A1A">
      <w:pPr>
        <w:spacing w:after="0"/>
        <w:ind w:left="0"/>
        <w:rPr>
          <w:rFonts w:cs="Arial"/>
        </w:rPr>
      </w:pPr>
    </w:p>
    <w:p w14:paraId="44E77F09" w14:textId="77777777" w:rsidR="00251A1A" w:rsidRPr="001410A8" w:rsidRDefault="00251A1A" w:rsidP="00251A1A">
      <w:pPr>
        <w:spacing w:after="0"/>
        <w:ind w:left="0"/>
        <w:rPr>
          <w:rFonts w:cs="Arial"/>
          <w:b/>
          <w:bCs/>
        </w:rPr>
      </w:pPr>
      <w:r w:rsidRPr="001410A8">
        <w:rPr>
          <w:rFonts w:cs="Arial"/>
          <w:b/>
          <w:bCs/>
        </w:rPr>
        <w:t>Données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559"/>
        <w:gridCol w:w="1418"/>
      </w:tblGrid>
      <w:tr w:rsidR="00251A1A" w:rsidRPr="00B3510C" w14:paraId="102B5664" w14:textId="77777777" w:rsidTr="00251A1A">
        <w:trPr>
          <w:jc w:val="center"/>
        </w:trPr>
        <w:tc>
          <w:tcPr>
            <w:tcW w:w="3681" w:type="dxa"/>
            <w:vAlign w:val="center"/>
          </w:tcPr>
          <w:p w14:paraId="00015583" w14:textId="77777777" w:rsidR="00251A1A" w:rsidRPr="00B3510C" w:rsidRDefault="00251A1A" w:rsidP="00251A1A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4E3A42E1" w14:textId="77777777" w:rsidR="00251A1A" w:rsidRPr="00B3510C" w:rsidRDefault="00251A1A" w:rsidP="00251A1A">
            <w:pPr>
              <w:ind w:left="0"/>
              <w:jc w:val="center"/>
              <w:rPr>
                <w:rFonts w:cs="Arial"/>
                <w:b/>
                <w:bCs/>
              </w:rPr>
            </w:pPr>
            <w:r w:rsidRPr="00B3510C">
              <w:rPr>
                <w:rFonts w:cs="Arial"/>
                <w:b/>
                <w:bCs/>
              </w:rPr>
              <w:t>Menthol</w:t>
            </w:r>
          </w:p>
        </w:tc>
        <w:tc>
          <w:tcPr>
            <w:tcW w:w="1418" w:type="dxa"/>
            <w:vAlign w:val="center"/>
          </w:tcPr>
          <w:p w14:paraId="2C2485BC" w14:textId="77777777" w:rsidR="00251A1A" w:rsidRPr="00B3510C" w:rsidRDefault="00251A1A" w:rsidP="00251A1A">
            <w:pPr>
              <w:ind w:left="0"/>
              <w:jc w:val="center"/>
              <w:rPr>
                <w:rFonts w:cs="Arial"/>
                <w:b/>
                <w:bCs/>
              </w:rPr>
            </w:pPr>
            <w:r w:rsidRPr="00B3510C">
              <w:rPr>
                <w:rFonts w:cs="Arial"/>
                <w:b/>
                <w:bCs/>
              </w:rPr>
              <w:t>Menthone</w:t>
            </w:r>
          </w:p>
        </w:tc>
      </w:tr>
      <w:tr w:rsidR="00251A1A" w:rsidRPr="00B3510C" w14:paraId="3F5D1D95" w14:textId="77777777" w:rsidTr="00251A1A">
        <w:trPr>
          <w:jc w:val="center"/>
        </w:trPr>
        <w:tc>
          <w:tcPr>
            <w:tcW w:w="3681" w:type="dxa"/>
            <w:vAlign w:val="center"/>
          </w:tcPr>
          <w:p w14:paraId="699DECAD" w14:textId="77777777" w:rsidR="00251A1A" w:rsidRPr="001410A8" w:rsidRDefault="00251A1A" w:rsidP="00251A1A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Couleur</w:t>
            </w:r>
          </w:p>
        </w:tc>
        <w:tc>
          <w:tcPr>
            <w:tcW w:w="1559" w:type="dxa"/>
            <w:vAlign w:val="center"/>
          </w:tcPr>
          <w:p w14:paraId="6A8DAB72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Blanche</w:t>
            </w:r>
          </w:p>
        </w:tc>
        <w:tc>
          <w:tcPr>
            <w:tcW w:w="1418" w:type="dxa"/>
            <w:vAlign w:val="center"/>
          </w:tcPr>
          <w:p w14:paraId="57F72541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Incolore</w:t>
            </w:r>
          </w:p>
        </w:tc>
      </w:tr>
      <w:tr w:rsidR="00251A1A" w:rsidRPr="00B3510C" w14:paraId="3F5EFF54" w14:textId="77777777" w:rsidTr="00251A1A">
        <w:trPr>
          <w:jc w:val="center"/>
        </w:trPr>
        <w:tc>
          <w:tcPr>
            <w:tcW w:w="3681" w:type="dxa"/>
            <w:vAlign w:val="center"/>
          </w:tcPr>
          <w:p w14:paraId="7244B757" w14:textId="77777777" w:rsidR="00251A1A" w:rsidRPr="001410A8" w:rsidRDefault="00251A1A" w:rsidP="00251A1A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Masse molaire (g.mol</w:t>
            </w:r>
            <w:r w:rsidRPr="001410A8">
              <w:rPr>
                <w:rFonts w:cs="Arial"/>
                <w:bCs/>
                <w:vertAlign w:val="superscript"/>
              </w:rPr>
              <w:t>-1</w:t>
            </w:r>
            <w:r w:rsidRPr="001410A8">
              <w:rPr>
                <w:rFonts w:cs="Arial"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513A791E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156</w:t>
            </w:r>
          </w:p>
        </w:tc>
        <w:tc>
          <w:tcPr>
            <w:tcW w:w="1418" w:type="dxa"/>
            <w:vAlign w:val="center"/>
          </w:tcPr>
          <w:p w14:paraId="4B455F1F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154</w:t>
            </w:r>
          </w:p>
        </w:tc>
      </w:tr>
      <w:tr w:rsidR="00251A1A" w:rsidRPr="00B3510C" w14:paraId="61BE5B45" w14:textId="77777777" w:rsidTr="00251A1A">
        <w:trPr>
          <w:jc w:val="center"/>
        </w:trPr>
        <w:tc>
          <w:tcPr>
            <w:tcW w:w="3681" w:type="dxa"/>
            <w:vAlign w:val="center"/>
          </w:tcPr>
          <w:p w14:paraId="3A7615E7" w14:textId="77777777" w:rsidR="00251A1A" w:rsidRPr="001410A8" w:rsidRDefault="00251A1A" w:rsidP="00251A1A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Température de fusion (°C)</w:t>
            </w:r>
          </w:p>
        </w:tc>
        <w:tc>
          <w:tcPr>
            <w:tcW w:w="1559" w:type="dxa"/>
            <w:vAlign w:val="center"/>
          </w:tcPr>
          <w:p w14:paraId="5F331755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43</w:t>
            </w:r>
          </w:p>
        </w:tc>
        <w:tc>
          <w:tcPr>
            <w:tcW w:w="1418" w:type="dxa"/>
            <w:vAlign w:val="center"/>
          </w:tcPr>
          <w:p w14:paraId="4612FE9B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- 6,5</w:t>
            </w:r>
          </w:p>
        </w:tc>
      </w:tr>
      <w:tr w:rsidR="00251A1A" w:rsidRPr="00B3510C" w14:paraId="4E2DD041" w14:textId="77777777" w:rsidTr="00251A1A">
        <w:trPr>
          <w:jc w:val="center"/>
        </w:trPr>
        <w:tc>
          <w:tcPr>
            <w:tcW w:w="3681" w:type="dxa"/>
            <w:vAlign w:val="center"/>
          </w:tcPr>
          <w:p w14:paraId="5EC05389" w14:textId="77777777" w:rsidR="00251A1A" w:rsidRPr="001410A8" w:rsidRDefault="00251A1A" w:rsidP="00251A1A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Température d’ébullition (°C)</w:t>
            </w:r>
          </w:p>
        </w:tc>
        <w:tc>
          <w:tcPr>
            <w:tcW w:w="1559" w:type="dxa"/>
            <w:vAlign w:val="center"/>
          </w:tcPr>
          <w:p w14:paraId="13519713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212</w:t>
            </w:r>
          </w:p>
        </w:tc>
        <w:tc>
          <w:tcPr>
            <w:tcW w:w="1418" w:type="dxa"/>
            <w:vAlign w:val="center"/>
          </w:tcPr>
          <w:p w14:paraId="3C1D6162" w14:textId="77777777" w:rsidR="00251A1A" w:rsidRPr="00B3510C" w:rsidRDefault="00251A1A" w:rsidP="00251A1A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209</w:t>
            </w:r>
          </w:p>
        </w:tc>
      </w:tr>
    </w:tbl>
    <w:p w14:paraId="4E9B3DC8" w14:textId="77777777" w:rsidR="00251A1A" w:rsidRDefault="00251A1A" w:rsidP="00251A1A">
      <w:pPr>
        <w:spacing w:after="0"/>
        <w:ind w:left="0"/>
        <w:rPr>
          <w:rFonts w:cs="Arial"/>
        </w:rPr>
      </w:pPr>
    </w:p>
    <w:p w14:paraId="22428FB9" w14:textId="77777777" w:rsidR="008476C6" w:rsidRPr="00B3510C" w:rsidRDefault="008476C6" w:rsidP="00251A1A">
      <w:pPr>
        <w:spacing w:after="0"/>
        <w:ind w:left="0"/>
        <w:rPr>
          <w:rFonts w:cs="Arial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2268"/>
        <w:gridCol w:w="1701"/>
        <w:gridCol w:w="1446"/>
        <w:gridCol w:w="1559"/>
      </w:tblGrid>
      <w:tr w:rsidR="00251A1A" w:rsidRPr="00B3510C" w14:paraId="1E73D09B" w14:textId="77777777" w:rsidTr="00251A1A">
        <w:trPr>
          <w:jc w:val="center"/>
        </w:trPr>
        <w:tc>
          <w:tcPr>
            <w:tcW w:w="2098" w:type="dxa"/>
          </w:tcPr>
          <w:p w14:paraId="349DF846" w14:textId="77777777" w:rsidR="00251A1A" w:rsidRPr="00B3510C" w:rsidRDefault="00251A1A" w:rsidP="00251A1A">
            <w:pPr>
              <w:ind w:left="0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Solvant</w:t>
            </w:r>
          </w:p>
        </w:tc>
        <w:tc>
          <w:tcPr>
            <w:tcW w:w="2268" w:type="dxa"/>
          </w:tcPr>
          <w:p w14:paraId="2B4A6E5F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Dichlorométhane</w:t>
            </w:r>
          </w:p>
        </w:tc>
        <w:tc>
          <w:tcPr>
            <w:tcW w:w="1701" w:type="dxa"/>
          </w:tcPr>
          <w:p w14:paraId="6178FD4A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Cyclohexane</w:t>
            </w:r>
          </w:p>
        </w:tc>
        <w:tc>
          <w:tcPr>
            <w:tcW w:w="1446" w:type="dxa"/>
          </w:tcPr>
          <w:p w14:paraId="7999E45C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B3510C">
              <w:rPr>
                <w:rFonts w:eastAsia="Times New Roman" w:cs="Arial"/>
                <w:b/>
                <w:bCs/>
              </w:rPr>
              <w:t>Ethanol</w:t>
            </w:r>
            <w:proofErr w:type="spellEnd"/>
          </w:p>
        </w:tc>
        <w:tc>
          <w:tcPr>
            <w:tcW w:w="1559" w:type="dxa"/>
          </w:tcPr>
          <w:p w14:paraId="1FDA8D84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Eau</w:t>
            </w:r>
          </w:p>
        </w:tc>
      </w:tr>
      <w:tr w:rsidR="00251A1A" w:rsidRPr="00B3510C" w14:paraId="53594110" w14:textId="77777777" w:rsidTr="00251A1A">
        <w:trPr>
          <w:jc w:val="center"/>
        </w:trPr>
        <w:tc>
          <w:tcPr>
            <w:tcW w:w="2098" w:type="dxa"/>
          </w:tcPr>
          <w:p w14:paraId="5C168101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Densité</w:t>
            </w:r>
          </w:p>
        </w:tc>
        <w:tc>
          <w:tcPr>
            <w:tcW w:w="2268" w:type="dxa"/>
            <w:vAlign w:val="center"/>
          </w:tcPr>
          <w:p w14:paraId="665FF421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1,33</w:t>
            </w:r>
          </w:p>
        </w:tc>
        <w:tc>
          <w:tcPr>
            <w:tcW w:w="1701" w:type="dxa"/>
            <w:vAlign w:val="center"/>
          </w:tcPr>
          <w:p w14:paraId="0A257DFE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0,78</w:t>
            </w:r>
          </w:p>
        </w:tc>
        <w:tc>
          <w:tcPr>
            <w:tcW w:w="1446" w:type="dxa"/>
            <w:vAlign w:val="center"/>
          </w:tcPr>
          <w:p w14:paraId="5B5F313E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0,79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F10BA9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1</w:t>
            </w:r>
          </w:p>
        </w:tc>
      </w:tr>
      <w:tr w:rsidR="00251A1A" w:rsidRPr="00B3510C" w14:paraId="7F9407F2" w14:textId="77777777" w:rsidTr="00251A1A">
        <w:trPr>
          <w:jc w:val="center"/>
        </w:trPr>
        <w:tc>
          <w:tcPr>
            <w:tcW w:w="2098" w:type="dxa"/>
          </w:tcPr>
          <w:p w14:paraId="2221E798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Miscibilité avec l’eau</w:t>
            </w:r>
          </w:p>
        </w:tc>
        <w:tc>
          <w:tcPr>
            <w:tcW w:w="2268" w:type="dxa"/>
            <w:vAlign w:val="center"/>
          </w:tcPr>
          <w:p w14:paraId="09BE7176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701" w:type="dxa"/>
            <w:vAlign w:val="center"/>
          </w:tcPr>
          <w:p w14:paraId="6A137B08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863C078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Miscible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DB77E8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</w:p>
        </w:tc>
      </w:tr>
      <w:tr w:rsidR="00251A1A" w:rsidRPr="00B3510C" w14:paraId="38A41E46" w14:textId="77777777" w:rsidTr="00251A1A">
        <w:trPr>
          <w:jc w:val="center"/>
        </w:trPr>
        <w:tc>
          <w:tcPr>
            <w:tcW w:w="2098" w:type="dxa"/>
          </w:tcPr>
          <w:p w14:paraId="6D01DB1A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Miscibilité avec l’éthanol</w:t>
            </w:r>
          </w:p>
        </w:tc>
        <w:tc>
          <w:tcPr>
            <w:tcW w:w="2268" w:type="dxa"/>
            <w:vAlign w:val="center"/>
          </w:tcPr>
          <w:p w14:paraId="7B3F6EF3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701" w:type="dxa"/>
            <w:vAlign w:val="center"/>
          </w:tcPr>
          <w:p w14:paraId="4B905FE1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4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BB2176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vAlign w:val="center"/>
          </w:tcPr>
          <w:p w14:paraId="31FFAD32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Miscible</w:t>
            </w:r>
          </w:p>
        </w:tc>
      </w:tr>
      <w:tr w:rsidR="00251A1A" w:rsidRPr="00B3510C" w14:paraId="2AF0DA9A" w14:textId="77777777" w:rsidTr="00251A1A">
        <w:trPr>
          <w:jc w:val="center"/>
        </w:trPr>
        <w:tc>
          <w:tcPr>
            <w:tcW w:w="2098" w:type="dxa"/>
          </w:tcPr>
          <w:p w14:paraId="0B2A255F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Solubilité du menthol à 25°C</w:t>
            </w:r>
          </w:p>
        </w:tc>
        <w:tc>
          <w:tcPr>
            <w:tcW w:w="2268" w:type="dxa"/>
            <w:vAlign w:val="center"/>
          </w:tcPr>
          <w:p w14:paraId="6AE85AFE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701" w:type="dxa"/>
            <w:vAlign w:val="center"/>
          </w:tcPr>
          <w:p w14:paraId="6EF7A5ED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Peu soluble</w:t>
            </w:r>
          </w:p>
        </w:tc>
        <w:tc>
          <w:tcPr>
            <w:tcW w:w="1446" w:type="dxa"/>
            <w:vAlign w:val="center"/>
          </w:tcPr>
          <w:p w14:paraId="2DA56544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Soluble</w:t>
            </w:r>
          </w:p>
        </w:tc>
        <w:tc>
          <w:tcPr>
            <w:tcW w:w="1559" w:type="dxa"/>
            <w:vAlign w:val="center"/>
          </w:tcPr>
          <w:p w14:paraId="3D2AB865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soluble</w:t>
            </w:r>
          </w:p>
        </w:tc>
      </w:tr>
      <w:tr w:rsidR="00251A1A" w:rsidRPr="00B3510C" w14:paraId="34857FEE" w14:textId="77777777" w:rsidTr="00251A1A">
        <w:trPr>
          <w:jc w:val="center"/>
        </w:trPr>
        <w:tc>
          <w:tcPr>
            <w:tcW w:w="2098" w:type="dxa"/>
          </w:tcPr>
          <w:p w14:paraId="74FF0C9A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Solubilité de la menthone à 25°C</w:t>
            </w:r>
          </w:p>
        </w:tc>
        <w:tc>
          <w:tcPr>
            <w:tcW w:w="2268" w:type="dxa"/>
            <w:vAlign w:val="center"/>
          </w:tcPr>
          <w:p w14:paraId="779354CC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701" w:type="dxa"/>
            <w:vAlign w:val="center"/>
          </w:tcPr>
          <w:p w14:paraId="6A2902AE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446" w:type="dxa"/>
            <w:vAlign w:val="center"/>
          </w:tcPr>
          <w:p w14:paraId="4258AEB1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Soluble</w:t>
            </w:r>
          </w:p>
        </w:tc>
        <w:tc>
          <w:tcPr>
            <w:tcW w:w="1559" w:type="dxa"/>
            <w:vAlign w:val="center"/>
          </w:tcPr>
          <w:p w14:paraId="5F32A234" w14:textId="77777777" w:rsidR="00251A1A" w:rsidRPr="00B3510C" w:rsidRDefault="00251A1A" w:rsidP="00C23302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soluble</w:t>
            </w:r>
          </w:p>
        </w:tc>
      </w:tr>
    </w:tbl>
    <w:p w14:paraId="00899B8A" w14:textId="36208B15" w:rsidR="007C0E18" w:rsidRDefault="007C0E18" w:rsidP="00251A1A">
      <w:pPr>
        <w:autoSpaceDE w:val="0"/>
        <w:spacing w:after="0"/>
        <w:ind w:left="0"/>
        <w:rPr>
          <w:rFonts w:eastAsia="Helvetica-Bold" w:cs="Arial"/>
          <w:b/>
          <w:bCs/>
        </w:rPr>
      </w:pPr>
    </w:p>
    <w:p w14:paraId="19848271" w14:textId="77777777" w:rsidR="007C0E18" w:rsidRDefault="007C0E18">
      <w:pPr>
        <w:spacing w:after="0" w:line="240" w:lineRule="auto"/>
        <w:ind w:left="0"/>
        <w:rPr>
          <w:rFonts w:eastAsia="Helvetica-Bold" w:cs="Arial"/>
          <w:b/>
          <w:bCs/>
        </w:rPr>
      </w:pPr>
      <w:r>
        <w:rPr>
          <w:rFonts w:eastAsia="Helvetica-Bold" w:cs="Arial"/>
          <w:b/>
          <w:bCs/>
        </w:rPr>
        <w:br w:type="page"/>
      </w:r>
    </w:p>
    <w:p w14:paraId="3A20BAF3" w14:textId="77777777" w:rsidR="00251A1A" w:rsidRPr="001410A8" w:rsidRDefault="00251A1A" w:rsidP="00251A1A">
      <w:pPr>
        <w:autoSpaceDE w:val="0"/>
        <w:spacing w:after="0"/>
        <w:ind w:left="0"/>
        <w:rPr>
          <w:rFonts w:eastAsia="Helvetica-Bold" w:cs="Arial"/>
          <w:bCs/>
        </w:rPr>
      </w:pPr>
      <w:r w:rsidRPr="001410A8">
        <w:rPr>
          <w:rFonts w:eastAsia="Helvetica-Bold" w:cs="Arial"/>
          <w:bCs/>
        </w:rPr>
        <w:lastRenderedPageBreak/>
        <w:t>Tableau de données de spectroscopie infrarouge (IR)</w:t>
      </w:r>
      <w:r>
        <w:rPr>
          <w:rFonts w:eastAsia="Helvetica-Bold" w:cs="Arial"/>
          <w:bCs/>
        </w:rPr>
        <w:t> :</w:t>
      </w:r>
    </w:p>
    <w:tbl>
      <w:tblPr>
        <w:tblStyle w:val="Grilledutableau"/>
        <w:tblW w:w="9644" w:type="dxa"/>
        <w:jc w:val="center"/>
        <w:tblLook w:val="04A0" w:firstRow="1" w:lastRow="0" w:firstColumn="1" w:lastColumn="0" w:noHBand="0" w:noVBand="1"/>
      </w:tblPr>
      <w:tblGrid>
        <w:gridCol w:w="3407"/>
        <w:gridCol w:w="2825"/>
        <w:gridCol w:w="3412"/>
      </w:tblGrid>
      <w:tr w:rsidR="00251A1A" w:rsidRPr="00B3510C" w14:paraId="385CA440" w14:textId="77777777" w:rsidTr="0095628A">
        <w:trPr>
          <w:trHeight w:val="404"/>
          <w:jc w:val="center"/>
        </w:trPr>
        <w:tc>
          <w:tcPr>
            <w:tcW w:w="3407" w:type="dxa"/>
            <w:vAlign w:val="center"/>
          </w:tcPr>
          <w:p w14:paraId="14B0D08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825" w:type="dxa"/>
            <w:vAlign w:val="center"/>
          </w:tcPr>
          <w:p w14:paraId="5E3B83BB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B351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12" w:type="dxa"/>
            <w:vAlign w:val="center"/>
          </w:tcPr>
          <w:p w14:paraId="2C3996D8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</w:tc>
      </w:tr>
      <w:tr w:rsidR="00251A1A" w:rsidRPr="00B3510C" w14:paraId="0D542E45" w14:textId="77777777" w:rsidTr="0095628A">
        <w:trPr>
          <w:trHeight w:val="424"/>
          <w:jc w:val="center"/>
        </w:trPr>
        <w:tc>
          <w:tcPr>
            <w:tcW w:w="3407" w:type="dxa"/>
            <w:vAlign w:val="center"/>
          </w:tcPr>
          <w:p w14:paraId="5516058A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libre</w:t>
            </w:r>
          </w:p>
        </w:tc>
        <w:tc>
          <w:tcPr>
            <w:tcW w:w="2825" w:type="dxa"/>
            <w:vAlign w:val="center"/>
          </w:tcPr>
          <w:p w14:paraId="48DF544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3500 - 3700</w:t>
            </w:r>
          </w:p>
        </w:tc>
        <w:tc>
          <w:tcPr>
            <w:tcW w:w="3412" w:type="dxa"/>
            <w:vAlign w:val="center"/>
          </w:tcPr>
          <w:p w14:paraId="3AB00247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Forte, fine</w:t>
            </w:r>
          </w:p>
        </w:tc>
      </w:tr>
      <w:tr w:rsidR="00251A1A" w:rsidRPr="00B3510C" w14:paraId="1D2EBED5" w14:textId="77777777" w:rsidTr="0095628A">
        <w:trPr>
          <w:trHeight w:val="417"/>
          <w:jc w:val="center"/>
        </w:trPr>
        <w:tc>
          <w:tcPr>
            <w:tcW w:w="3407" w:type="dxa"/>
            <w:vAlign w:val="center"/>
          </w:tcPr>
          <w:p w14:paraId="717FC3B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liée</w:t>
            </w:r>
          </w:p>
        </w:tc>
        <w:tc>
          <w:tcPr>
            <w:tcW w:w="2825" w:type="dxa"/>
            <w:vAlign w:val="center"/>
          </w:tcPr>
          <w:p w14:paraId="4D8320BC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3200-3400</w:t>
            </w:r>
          </w:p>
        </w:tc>
        <w:tc>
          <w:tcPr>
            <w:tcW w:w="3412" w:type="dxa"/>
            <w:vAlign w:val="center"/>
          </w:tcPr>
          <w:p w14:paraId="3A8BB86B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Forte, large</w:t>
            </w:r>
          </w:p>
        </w:tc>
      </w:tr>
      <w:tr w:rsidR="00251A1A" w:rsidRPr="00B3510C" w14:paraId="6EE83C93" w14:textId="77777777" w:rsidTr="0095628A">
        <w:trPr>
          <w:trHeight w:val="408"/>
          <w:jc w:val="center"/>
        </w:trPr>
        <w:tc>
          <w:tcPr>
            <w:tcW w:w="3407" w:type="dxa"/>
            <w:vAlign w:val="center"/>
          </w:tcPr>
          <w:p w14:paraId="255BC2AE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acide carboxylique</w:t>
            </w:r>
          </w:p>
        </w:tc>
        <w:tc>
          <w:tcPr>
            <w:tcW w:w="2825" w:type="dxa"/>
            <w:vAlign w:val="center"/>
          </w:tcPr>
          <w:p w14:paraId="4C4843C2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2500-3200</w:t>
            </w:r>
          </w:p>
        </w:tc>
        <w:tc>
          <w:tcPr>
            <w:tcW w:w="3412" w:type="dxa"/>
            <w:vAlign w:val="center"/>
          </w:tcPr>
          <w:p w14:paraId="0B5C4C4F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 à moyenne, large</w:t>
            </w:r>
          </w:p>
        </w:tc>
      </w:tr>
      <w:tr w:rsidR="00251A1A" w:rsidRPr="00B3510C" w14:paraId="537989A8" w14:textId="77777777" w:rsidTr="0095628A">
        <w:trPr>
          <w:trHeight w:val="414"/>
          <w:jc w:val="center"/>
        </w:trPr>
        <w:tc>
          <w:tcPr>
            <w:tcW w:w="3407" w:type="dxa"/>
            <w:vAlign w:val="center"/>
          </w:tcPr>
          <w:p w14:paraId="5E68D759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C-H</w:t>
            </w:r>
          </w:p>
        </w:tc>
        <w:tc>
          <w:tcPr>
            <w:tcW w:w="2825" w:type="dxa"/>
            <w:vAlign w:val="center"/>
          </w:tcPr>
          <w:p w14:paraId="771A6C96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2800-3000</w:t>
            </w:r>
          </w:p>
        </w:tc>
        <w:tc>
          <w:tcPr>
            <w:tcW w:w="3412" w:type="dxa"/>
            <w:vAlign w:val="center"/>
          </w:tcPr>
          <w:p w14:paraId="4BC4AEFA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367DC44D" w14:textId="77777777" w:rsidTr="0095628A">
        <w:trPr>
          <w:trHeight w:val="420"/>
          <w:jc w:val="center"/>
        </w:trPr>
        <w:tc>
          <w:tcPr>
            <w:tcW w:w="3407" w:type="dxa"/>
            <w:vAlign w:val="center"/>
          </w:tcPr>
          <w:p w14:paraId="78A2CDE4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C=O aldéhyde et cétone</w:t>
            </w:r>
          </w:p>
        </w:tc>
        <w:tc>
          <w:tcPr>
            <w:tcW w:w="2825" w:type="dxa"/>
            <w:vAlign w:val="center"/>
          </w:tcPr>
          <w:p w14:paraId="18C19832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1650-1730</w:t>
            </w:r>
          </w:p>
        </w:tc>
        <w:tc>
          <w:tcPr>
            <w:tcW w:w="3412" w:type="dxa"/>
            <w:vAlign w:val="center"/>
          </w:tcPr>
          <w:p w14:paraId="55F86D16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55C2379A" w14:textId="77777777" w:rsidTr="0095628A">
        <w:trPr>
          <w:trHeight w:val="412"/>
          <w:jc w:val="center"/>
        </w:trPr>
        <w:tc>
          <w:tcPr>
            <w:tcW w:w="3407" w:type="dxa"/>
            <w:vAlign w:val="center"/>
          </w:tcPr>
          <w:p w14:paraId="11E0999D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C=O acide carboxylique</w:t>
            </w:r>
          </w:p>
        </w:tc>
        <w:tc>
          <w:tcPr>
            <w:tcW w:w="2825" w:type="dxa"/>
            <w:vAlign w:val="center"/>
          </w:tcPr>
          <w:p w14:paraId="7071D521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1680-1710</w:t>
            </w:r>
          </w:p>
        </w:tc>
        <w:tc>
          <w:tcPr>
            <w:tcW w:w="3412" w:type="dxa"/>
            <w:vAlign w:val="center"/>
          </w:tcPr>
          <w:p w14:paraId="5A0A3C9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684EDEFD" w14:textId="77777777" w:rsidTr="0095628A">
        <w:trPr>
          <w:trHeight w:val="416"/>
          <w:jc w:val="center"/>
        </w:trPr>
        <w:tc>
          <w:tcPr>
            <w:tcW w:w="3407" w:type="dxa"/>
            <w:vAlign w:val="center"/>
          </w:tcPr>
          <w:p w14:paraId="16DC003D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C=C</w:t>
            </w:r>
          </w:p>
        </w:tc>
        <w:tc>
          <w:tcPr>
            <w:tcW w:w="2825" w:type="dxa"/>
            <w:vAlign w:val="center"/>
          </w:tcPr>
          <w:p w14:paraId="1101F037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1640-1680</w:t>
            </w:r>
          </w:p>
        </w:tc>
        <w:tc>
          <w:tcPr>
            <w:tcW w:w="3412" w:type="dxa"/>
            <w:vAlign w:val="center"/>
          </w:tcPr>
          <w:p w14:paraId="12692F79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Moyenne</w:t>
            </w:r>
          </w:p>
        </w:tc>
      </w:tr>
    </w:tbl>
    <w:p w14:paraId="4C8BE0CD" w14:textId="1BCBB240" w:rsidR="00251A1A" w:rsidRDefault="00251A1A" w:rsidP="007C0E1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B3510C">
        <w:rPr>
          <w:rFonts w:ascii="Arial" w:hAnsi="Arial" w:cs="Arial"/>
          <w:sz w:val="24"/>
          <w:szCs w:val="24"/>
        </w:rPr>
        <w:t xml:space="preserve"> formule semi-développée du menthol</w:t>
      </w:r>
      <w:r w:rsidR="00624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 représentée ci-après : </w:t>
      </w:r>
    </w:p>
    <w:p w14:paraId="2D3C0439" w14:textId="77777777" w:rsidR="00251A1A" w:rsidRDefault="00251A1A" w:rsidP="00251A1A">
      <w:pPr>
        <w:pStyle w:val="Paragraphedeliste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B3510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72ECA6" wp14:editId="5AD28CFA">
            <wp:extent cx="1676400" cy="1318995"/>
            <wp:effectExtent l="0" t="0" r="0" b="0"/>
            <wp:docPr id="5" name="Image 5" descr="http://www.chimix.com/ifrance/Images/fev0/t0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mix.com/ifrance/Images/fev0/t04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80" cy="13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B9D3" w14:textId="19FF10A5" w:rsidR="00251A1A" w:rsidRDefault="00251A1A" w:rsidP="004C29BB">
      <w:pPr>
        <w:pStyle w:val="Paragraphedeliste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50A61">
        <w:rPr>
          <w:rFonts w:ascii="Arial" w:hAnsi="Arial" w:cs="Arial"/>
          <w:sz w:val="24"/>
          <w:szCs w:val="24"/>
        </w:rPr>
        <w:t>Justifier le fait que le menthol fasse partie de la famille des alcools</w:t>
      </w:r>
      <w:r w:rsidR="004C29BB">
        <w:rPr>
          <w:rFonts w:ascii="Arial" w:hAnsi="Arial" w:cs="Arial"/>
          <w:sz w:val="24"/>
          <w:szCs w:val="24"/>
        </w:rPr>
        <w:t>.</w:t>
      </w:r>
    </w:p>
    <w:p w14:paraId="19D657A0" w14:textId="77777777" w:rsidR="00251A1A" w:rsidRPr="003A6090" w:rsidRDefault="00251A1A" w:rsidP="004C29BB">
      <w:pPr>
        <w:pStyle w:val="Paragraphedeliste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A6090">
        <w:rPr>
          <w:rFonts w:ascii="Arial" w:hAnsi="Arial" w:cs="Arial"/>
          <w:sz w:val="24"/>
          <w:szCs w:val="24"/>
        </w:rPr>
        <w:t>Sachant que lors de l’oxydation ménagée du menthol en menthone seul le groupe caractéristique est modifié</w:t>
      </w:r>
      <w:r>
        <w:rPr>
          <w:rFonts w:ascii="Arial" w:hAnsi="Arial" w:cs="Arial"/>
          <w:sz w:val="24"/>
          <w:szCs w:val="24"/>
        </w:rPr>
        <w:t xml:space="preserve"> et que la menthone appartient à la famille des cétones</w:t>
      </w:r>
      <w:r w:rsidRPr="003A6090">
        <w:rPr>
          <w:rFonts w:ascii="Arial" w:hAnsi="Arial" w:cs="Arial"/>
          <w:sz w:val="24"/>
          <w:szCs w:val="24"/>
        </w:rPr>
        <w:t>, représenter la formule semi-développée de la molécule de menthone.</w:t>
      </w:r>
    </w:p>
    <w:p w14:paraId="5DA67FB4" w14:textId="77777777" w:rsidR="00251A1A" w:rsidRPr="00B3510C" w:rsidRDefault="00251A1A" w:rsidP="007C0E18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3510C">
        <w:rPr>
          <w:rFonts w:ascii="Arial" w:hAnsi="Arial" w:cs="Arial"/>
          <w:sz w:val="24"/>
          <w:szCs w:val="24"/>
        </w:rPr>
        <w:t xml:space="preserve">L'oxydation du menthol en menthone </w:t>
      </w:r>
      <w:r>
        <w:rPr>
          <w:rFonts w:ascii="Arial" w:hAnsi="Arial" w:cs="Arial"/>
          <w:sz w:val="24"/>
          <w:szCs w:val="24"/>
        </w:rPr>
        <w:t>s’effectue</w:t>
      </w:r>
      <w:r w:rsidRPr="00B3510C">
        <w:rPr>
          <w:rFonts w:ascii="Arial" w:hAnsi="Arial" w:cs="Arial"/>
          <w:sz w:val="24"/>
          <w:szCs w:val="24"/>
        </w:rPr>
        <w:t xml:space="preserve"> en milieu acide par l'ion permanganate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Mn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 (aq)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B3510C">
        <w:rPr>
          <w:rFonts w:ascii="Arial" w:hAnsi="Arial" w:cs="Arial"/>
          <w:sz w:val="24"/>
          <w:szCs w:val="24"/>
        </w:rPr>
        <w:t xml:space="preserve">qui appartient au couple oxydant-réducteur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Mn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4  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aq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 (aq)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2+</m:t>
            </m:r>
          </m:sup>
        </m:sSubSup>
      </m:oMath>
      <w:r w:rsidRPr="00FD01C6">
        <w:rPr>
          <w:rFonts w:ascii="Arial" w:hAnsi="Arial" w:cs="Arial"/>
          <w:sz w:val="24"/>
          <w:szCs w:val="24"/>
        </w:rPr>
        <w:t>.</w:t>
      </w:r>
      <w:r w:rsidRPr="00B3510C">
        <w:rPr>
          <w:rFonts w:ascii="Arial" w:hAnsi="Arial" w:cs="Arial"/>
          <w:sz w:val="24"/>
          <w:szCs w:val="24"/>
        </w:rPr>
        <w:t xml:space="preserve"> Cette oxydation est modélisée par une réaction dont l’équation est la suivante : </w:t>
      </w:r>
    </w:p>
    <w:p w14:paraId="577E16F9" w14:textId="51D20618" w:rsidR="00251A1A" w:rsidRPr="00FD01C6" w:rsidRDefault="0095628A" w:rsidP="0095628A">
      <w:pPr>
        <w:pStyle w:val="Paragraphedeliste"/>
        <w:spacing w:after="0"/>
        <w:ind w:left="0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2 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Mn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 (aq)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</m:t>
              </m:r>
            </m:sup>
          </m:sSubSup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+ 5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CHO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(s)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+ 6 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 (aq)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+</m:t>
              </m:r>
            </m:sup>
          </m:sSubSup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 →  2 </m:t>
          </m:r>
          <m:sSubSup>
            <m:sSub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 (aq)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2+</m:t>
              </m:r>
            </m:sup>
          </m:sSubSup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+ 5 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18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(l)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+ 8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(l)</m:t>
              </m:r>
            </m:sub>
          </m:sSub>
        </m:oMath>
      </m:oMathPara>
    </w:p>
    <w:p w14:paraId="21BC326C" w14:textId="77777777" w:rsidR="00251A1A" w:rsidRDefault="00251A1A" w:rsidP="004C29BB">
      <w:pPr>
        <w:spacing w:after="120"/>
        <w:ind w:left="0"/>
        <w:jc w:val="both"/>
        <w:rPr>
          <w:rFonts w:cs="Arial"/>
        </w:rPr>
      </w:pPr>
      <w:r>
        <w:rPr>
          <w:rFonts w:cs="Arial"/>
        </w:rPr>
        <w:t xml:space="preserve">Justifier le fait que le menthol subit une </w:t>
      </w:r>
      <w:r w:rsidRPr="00FD01C6">
        <w:rPr>
          <w:rFonts w:cs="Arial"/>
        </w:rPr>
        <w:t>oxyda</w:t>
      </w:r>
      <w:r>
        <w:rPr>
          <w:rFonts w:cs="Arial"/>
        </w:rPr>
        <w:t>tion</w:t>
      </w:r>
      <w:r w:rsidRPr="00FD01C6">
        <w:rPr>
          <w:rFonts w:cs="Arial"/>
        </w:rPr>
        <w:t>.</w:t>
      </w:r>
    </w:p>
    <w:p w14:paraId="79ABB61D" w14:textId="391D602A" w:rsidR="00251A1A" w:rsidRPr="00B3510C" w:rsidRDefault="00251A1A" w:rsidP="007C0E18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On réalise, au laboratoire du lycée, l’oxydation d’une masse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m=15,6 g</m:t>
        </m:r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de menthol </w:t>
      </w:r>
      <w:r>
        <w:rPr>
          <w:rFonts w:ascii="Arial" w:eastAsia="Times New Roman" w:hAnsi="Arial" w:cs="Arial"/>
          <w:sz w:val="24"/>
          <w:szCs w:val="24"/>
          <w:lang w:eastAsia="fr-FR"/>
        </w:rPr>
        <w:t>par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un volume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V=200 mL</m:t>
        </m:r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d’une solution aqueuse </w:t>
      </w:r>
      <w:r>
        <w:rPr>
          <w:rFonts w:ascii="Arial" w:eastAsia="Times New Roman" w:hAnsi="Arial" w:cs="Arial"/>
          <w:sz w:val="24"/>
          <w:szCs w:val="24"/>
          <w:lang w:eastAsia="fr-FR"/>
        </w:rPr>
        <w:t>aci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E958E8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permanganate de potassium dont la concentration en ions permanganate est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C=0,5 mol.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L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-1</m:t>
            </m:r>
          </m:sup>
        </m:sSup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Le mélange est acidifié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par quelques millilitres d'acide sulfurique concentré. Le dispositif expérimental utilisé est celui du chauffage à reflux.</w:t>
      </w:r>
    </w:p>
    <w:p w14:paraId="4B7673BD" w14:textId="77777777" w:rsidR="00251A1A" w:rsidRPr="00B3510C" w:rsidRDefault="00251A1A" w:rsidP="007B6E78">
      <w:pPr>
        <w:spacing w:after="0"/>
        <w:ind w:left="0"/>
        <w:jc w:val="center"/>
        <w:rPr>
          <w:rFonts w:cs="Arial"/>
        </w:rPr>
      </w:pPr>
      <w:r w:rsidRPr="00B3510C">
        <w:rPr>
          <w:rFonts w:cs="Arial"/>
          <w:noProof/>
        </w:rPr>
        <w:drawing>
          <wp:inline distT="0" distB="0" distL="0" distR="0" wp14:anchorId="27A39D92" wp14:editId="4AE0C500">
            <wp:extent cx="5835961" cy="21796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44" cy="21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6D73" w14:textId="63958BBA" w:rsidR="004C29BB" w:rsidRPr="004C29BB" w:rsidRDefault="00251A1A" w:rsidP="00C3312D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4C29BB">
        <w:rPr>
          <w:rFonts w:ascii="Arial" w:hAnsi="Arial" w:cs="Arial"/>
          <w:sz w:val="24"/>
          <w:szCs w:val="24"/>
        </w:rPr>
        <w:t>Parmi les montages A, B et C précédents, indiquer celui qu'il convient de choisir pour réaliser le chauffage à reflux.</w:t>
      </w:r>
      <w:r w:rsidR="004C29BB" w:rsidRPr="004C29BB">
        <w:rPr>
          <w:rFonts w:ascii="Arial" w:hAnsi="Arial" w:cs="Arial"/>
          <w:sz w:val="24"/>
          <w:szCs w:val="24"/>
        </w:rPr>
        <w:br w:type="page"/>
      </w:r>
    </w:p>
    <w:p w14:paraId="4E1BF371" w14:textId="77777777" w:rsidR="00251A1A" w:rsidRDefault="00251A1A" w:rsidP="00251A1A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lastRenderedPageBreak/>
        <w:t>Expliquer le rôle des différents éléments de verrerie dans le montage à reflux.</w:t>
      </w:r>
    </w:p>
    <w:p w14:paraId="21571118" w14:textId="77777777" w:rsidR="00251A1A" w:rsidRPr="00FD01C6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377BD2" w14:textId="77777777" w:rsidR="00251A1A" w:rsidRDefault="00251A1A" w:rsidP="006B3DA9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En s’aidant éventuellement d’un tableau d’avancement, montrer que, lors de cette oxydation, le menthol est le réactif limitant. </w:t>
      </w:r>
    </w:p>
    <w:p w14:paraId="7F95E04E" w14:textId="77777777" w:rsidR="00251A1A" w:rsidRPr="00FD01C6" w:rsidRDefault="00251A1A" w:rsidP="00251A1A">
      <w:pPr>
        <w:pStyle w:val="Paragraphedeliste"/>
        <w:spacing w:after="0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CB194E" w14:textId="77777777" w:rsidR="00251A1A" w:rsidRPr="00FD01C6" w:rsidRDefault="00251A1A" w:rsidP="00251A1A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FD01C6">
        <w:rPr>
          <w:rFonts w:ascii="Arial" w:eastAsia="Times New Roman" w:hAnsi="Arial" w:cs="Arial"/>
          <w:sz w:val="24"/>
          <w:szCs w:val="24"/>
          <w:lang w:eastAsia="fr-FR"/>
        </w:rPr>
        <w:t xml:space="preserve">Déterminer la masse théorique maximum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th</m:t>
            </m:r>
          </m:sub>
        </m:sSub>
      </m:oMath>
      <w:r w:rsidRPr="00FD01C6">
        <w:rPr>
          <w:rFonts w:ascii="Arial" w:eastAsia="Times New Roman" w:hAnsi="Arial" w:cs="Arial"/>
          <w:sz w:val="24"/>
          <w:szCs w:val="24"/>
          <w:lang w:eastAsia="fr-FR"/>
        </w:rPr>
        <w:t xml:space="preserve"> de menthone que l’on peut obtenir.</w:t>
      </w:r>
    </w:p>
    <w:p w14:paraId="1196A0AD" w14:textId="77777777" w:rsidR="00251A1A" w:rsidRPr="00B3510C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A9ED06F" w14:textId="77777777" w:rsidR="00251A1A" w:rsidRPr="00B3510C" w:rsidRDefault="00251A1A" w:rsidP="0035665A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>On transvase le contenu du ballon dans une ampoule à décanter et on y ajoute 20 mL d’un solvant extracteur. On agite puis on laisse reposer. On observe la séparation de 2 phases, la phase organique surnageant.</w:t>
      </w:r>
    </w:p>
    <w:p w14:paraId="19AF0606" w14:textId="77777777" w:rsidR="00251A1A" w:rsidRDefault="00251A1A" w:rsidP="00251A1A">
      <w:pPr>
        <w:spacing w:after="0" w:line="240" w:lineRule="auto"/>
        <w:ind w:left="0"/>
        <w:rPr>
          <w:rFonts w:eastAsia="Times New Roman" w:cs="Arial"/>
        </w:rPr>
      </w:pPr>
    </w:p>
    <w:p w14:paraId="6A86C388" w14:textId="77777777" w:rsidR="00251A1A" w:rsidRDefault="00251A1A" w:rsidP="0035665A">
      <w:pPr>
        <w:spacing w:after="0" w:line="240" w:lineRule="auto"/>
        <w:ind w:left="0"/>
        <w:jc w:val="both"/>
        <w:rPr>
          <w:rFonts w:eastAsia="Times New Roman" w:cs="Arial"/>
        </w:rPr>
      </w:pPr>
      <w:r w:rsidRPr="00B3510C">
        <w:rPr>
          <w:rFonts w:eastAsia="Times New Roman" w:cs="Arial"/>
        </w:rPr>
        <w:t>Déterminer quel solvant, parmi le dichlorométhane, le cyclohexane, l’éthanol et l’eau, a été utilisé pour extraire la menthone du mélange réactionnel.</w:t>
      </w:r>
      <w:r>
        <w:rPr>
          <w:rFonts w:eastAsia="Times New Roman" w:cs="Arial"/>
        </w:rPr>
        <w:t xml:space="preserve"> Justifier</w:t>
      </w:r>
    </w:p>
    <w:p w14:paraId="4F0830D1" w14:textId="77777777" w:rsidR="00251A1A" w:rsidRPr="00B3510C" w:rsidRDefault="00251A1A" w:rsidP="00251A1A">
      <w:pPr>
        <w:spacing w:after="0" w:line="240" w:lineRule="auto"/>
        <w:ind w:left="0"/>
        <w:rPr>
          <w:rFonts w:eastAsia="Times New Roman" w:cs="Arial"/>
        </w:rPr>
      </w:pPr>
    </w:p>
    <w:p w14:paraId="084597CC" w14:textId="683EB498" w:rsidR="00251A1A" w:rsidRPr="00B3510C" w:rsidRDefault="00251A1A" w:rsidP="0035665A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La séparation de la menthone du solvant extracteur se fait en réalisant une distillation. En fin d’opération on obtient une masse </w:t>
      </w:r>
      <w:proofErr w:type="spellStart"/>
      <w:r w:rsidR="004D0B0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</w:t>
      </w:r>
      <w:r w:rsidR="004D0B00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fr-FR"/>
        </w:rPr>
        <w:t>exp</w:t>
      </w:r>
      <w:proofErr w:type="spellEnd"/>
      <w:r w:rsidR="004D0B00">
        <w:rPr>
          <w:rFonts w:ascii="Arial" w:eastAsia="Times New Roman" w:hAnsi="Arial" w:cs="Arial"/>
          <w:sz w:val="24"/>
          <w:szCs w:val="24"/>
          <w:lang w:eastAsia="fr-FR"/>
        </w:rPr>
        <w:t xml:space="preserve"> =10,3 g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de distillat que l’on considère être de la menthone pure. On réalise le spectre infrarouge du </w:t>
      </w:r>
      <w:r>
        <w:rPr>
          <w:rFonts w:ascii="Arial" w:eastAsia="Times New Roman" w:hAnsi="Arial" w:cs="Arial"/>
          <w:sz w:val="24"/>
          <w:szCs w:val="24"/>
          <w:lang w:eastAsia="fr-FR"/>
        </w:rPr>
        <w:t>distillat ; il est reproduit ci-après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70DD26BA" w14:textId="77777777" w:rsidR="00251A1A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23A18F" w14:textId="77777777" w:rsidR="00251A1A" w:rsidRDefault="00251A1A" w:rsidP="007B6E78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Helvetica-Bold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2BF27E79" wp14:editId="10EAA9E6">
            <wp:extent cx="5645888" cy="343299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05" cy="34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CBAF" w14:textId="77777777" w:rsidR="00251A1A" w:rsidRPr="00BE7795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E07BF3B" w14:textId="77777777" w:rsidR="00251A1A" w:rsidRPr="00BE7795" w:rsidRDefault="00251A1A" w:rsidP="00251A1A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BE7795">
        <w:rPr>
          <w:rFonts w:ascii="Arial" w:eastAsia="Times New Roman" w:hAnsi="Arial" w:cs="Arial"/>
          <w:sz w:val="24"/>
          <w:szCs w:val="24"/>
          <w:lang w:eastAsia="fr-FR"/>
        </w:rPr>
        <w:t>Justifier que le spectre précédent est compatible avec celui de la menthone.</w:t>
      </w:r>
    </w:p>
    <w:p w14:paraId="4A401F49" w14:textId="77777777" w:rsidR="00251A1A" w:rsidRPr="00B3510C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8FD2018" w14:textId="77777777" w:rsidR="00251A1A" w:rsidRPr="00B3510C" w:rsidRDefault="00251A1A" w:rsidP="00251A1A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>Déterminer le rendement de cette synthèse. Conclure.</w:t>
      </w:r>
    </w:p>
    <w:p w14:paraId="41C4F3C3" w14:textId="77777777" w:rsidR="00251A1A" w:rsidRDefault="00251A1A" w:rsidP="00251A1A">
      <w:pPr>
        <w:spacing w:after="0" w:line="240" w:lineRule="auto"/>
        <w:ind w:left="0"/>
        <w:rPr>
          <w:rFonts w:eastAsia="Times New Roman" w:cs="Arial"/>
          <w:b/>
          <w:bCs/>
        </w:rPr>
      </w:pPr>
    </w:p>
    <w:p w14:paraId="3BC85EC6" w14:textId="77777777" w:rsidR="00251A1A" w:rsidRDefault="00251A1A" w:rsidP="00251A1A">
      <w:pPr>
        <w:spacing w:after="0" w:line="240" w:lineRule="auto"/>
        <w:ind w:left="0"/>
        <w:rPr>
          <w:rFonts w:eastAsia="Times New Roman" w:cs="Arial"/>
          <w:b/>
          <w:bCs/>
        </w:rPr>
      </w:pPr>
    </w:p>
    <w:p w14:paraId="10E8B118" w14:textId="7C1B1ACC" w:rsidR="00251A1A" w:rsidRPr="007B6E78" w:rsidRDefault="00251A1A" w:rsidP="00251A1A">
      <w:pPr>
        <w:spacing w:after="0" w:line="240" w:lineRule="auto"/>
        <w:ind w:left="0"/>
        <w:rPr>
          <w:rFonts w:eastAsia="Times New Roman" w:cs="Arial"/>
        </w:rPr>
      </w:pPr>
      <w:r w:rsidRPr="00B3510C">
        <w:rPr>
          <w:rFonts w:eastAsia="Times New Roman" w:cs="Arial"/>
          <w:b/>
          <w:bCs/>
        </w:rPr>
        <w:t>Aide au calcul</w:t>
      </w:r>
      <w:r w:rsidRPr="00B3510C">
        <w:rPr>
          <w:rFonts w:eastAsia="Times New Roman" w:cs="Arial"/>
        </w:rPr>
        <w:t xml:space="preserve"> :   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103</m:t>
            </m:r>
          </m:num>
          <m:den>
            <m:r>
              <w:rPr>
                <w:rFonts w:ascii="Cambria Math" w:eastAsia="Times New Roman" w:hAnsi="Cambria Math" w:cs="Arial"/>
              </w:rPr>
              <m:t>15</m:t>
            </m:r>
            <m:r>
              <w:rPr>
                <w:rFonts w:ascii="Cambria Math" w:eastAsia="Times New Roman" w:hAnsi="Cambria Math" w:cs="Arial"/>
              </w:rPr>
              <m:t>4</m:t>
            </m:r>
          </m:den>
        </m:f>
        <m:r>
          <w:rPr>
            <w:rFonts w:ascii="Cambria Math" w:eastAsia="Times New Roman" w:hAnsi="Cambria Math" w:cs="Arial"/>
          </w:rPr>
          <m:t>=0,6</m:t>
        </m:r>
        <m:r>
          <w:rPr>
            <w:rFonts w:ascii="Cambria Math" w:eastAsia="Times New Roman" w:hAnsi="Cambria Math" w:cs="Arial"/>
          </w:rPr>
          <m:t>69</m:t>
        </m:r>
        <m:r>
          <w:rPr>
            <w:rFonts w:ascii="Cambria Math" w:eastAsia="Times New Roman" w:hAnsi="Cambria Math" w:cs="Arial"/>
          </w:rPr>
          <m:t xml:space="preserve">      ;       103×15</m:t>
        </m:r>
        <m:r>
          <w:rPr>
            <w:rFonts w:ascii="Cambria Math" w:eastAsia="Times New Roman" w:hAnsi="Cambria Math" w:cs="Arial"/>
          </w:rPr>
          <m:t>4</m:t>
        </m:r>
        <m:r>
          <w:rPr>
            <w:rFonts w:ascii="Cambria Math" w:eastAsia="Times New Roman" w:hAnsi="Cambria Math" w:cs="Arial"/>
          </w:rPr>
          <m:t>=1,58×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10</m:t>
            </m:r>
          </m:e>
          <m:sup>
            <m:r>
              <w:rPr>
                <w:rFonts w:ascii="Cambria Math" w:eastAsia="Times New Roman" w:hAnsi="Cambria Math" w:cs="Arial"/>
              </w:rPr>
              <m:t>4</m:t>
            </m:r>
          </m:sup>
        </m:sSup>
        <m:r>
          <w:rPr>
            <w:rFonts w:ascii="Cambria Math" w:eastAsia="Times New Roman" w:hAnsi="Cambria Math" w:cs="Arial"/>
          </w:rPr>
          <m:t xml:space="preserve">         ;     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15</m:t>
            </m:r>
            <m:r>
              <w:rPr>
                <w:rFonts w:ascii="Cambria Math" w:eastAsia="Times New Roman" w:hAnsi="Cambria Math" w:cs="Arial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</w:rPr>
              <m:t>103</m:t>
            </m:r>
          </m:den>
        </m:f>
        <m:r>
          <w:rPr>
            <w:rFonts w:ascii="Cambria Math" w:eastAsia="Times New Roman" w:hAnsi="Cambria Math" w:cs="Arial"/>
          </w:rPr>
          <m:t>=1,</m:t>
        </m:r>
        <m:r>
          <w:rPr>
            <w:rFonts w:ascii="Cambria Math" w:eastAsia="Times New Roman" w:hAnsi="Cambria Math" w:cs="Arial"/>
          </w:rPr>
          <m:t>50</m:t>
        </m:r>
      </m:oMath>
    </w:p>
    <w:sectPr w:rsidR="00251A1A" w:rsidRPr="007B6E78" w:rsidSect="00B47CFE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9065" w14:textId="77777777" w:rsidR="00B1455A" w:rsidRDefault="00B1455A" w:rsidP="0053612B">
      <w:pPr>
        <w:spacing w:after="0" w:line="240" w:lineRule="auto"/>
      </w:pPr>
      <w:r>
        <w:separator/>
      </w:r>
    </w:p>
  </w:endnote>
  <w:endnote w:type="continuationSeparator" w:id="0">
    <w:p w14:paraId="10C2F484" w14:textId="77777777" w:rsidR="00B1455A" w:rsidRDefault="00B1455A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ED93" w14:textId="77777777" w:rsidR="00B1455A" w:rsidRDefault="00B1455A" w:rsidP="0053612B">
      <w:pPr>
        <w:spacing w:after="0" w:line="240" w:lineRule="auto"/>
      </w:pPr>
      <w:r>
        <w:separator/>
      </w:r>
    </w:p>
  </w:footnote>
  <w:footnote w:type="continuationSeparator" w:id="0">
    <w:p w14:paraId="1A8EC199" w14:textId="77777777" w:rsidR="00B1455A" w:rsidRDefault="00B1455A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7468"/>
    <w:multiLevelType w:val="multilevel"/>
    <w:tmpl w:val="A3626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3FC5ECA"/>
    <w:multiLevelType w:val="multilevel"/>
    <w:tmpl w:val="EA567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1F09C9"/>
    <w:multiLevelType w:val="multilevel"/>
    <w:tmpl w:val="BAC2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43F2A79"/>
    <w:multiLevelType w:val="multilevel"/>
    <w:tmpl w:val="176A8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D04E77"/>
    <w:multiLevelType w:val="hybridMultilevel"/>
    <w:tmpl w:val="45D8F90A"/>
    <w:lvl w:ilvl="0" w:tplc="06705E4E">
      <w:start w:val="2"/>
      <w:numFmt w:val="decimal"/>
      <w:lvlText w:val="%1"/>
      <w:lvlJc w:val="left"/>
      <w:pPr>
        <w:ind w:left="644" w:hanging="360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6015E"/>
    <w:rsid w:val="00080326"/>
    <w:rsid w:val="000A3345"/>
    <w:rsid w:val="000C6554"/>
    <w:rsid w:val="00103C42"/>
    <w:rsid w:val="00116AFA"/>
    <w:rsid w:val="00121498"/>
    <w:rsid w:val="00133B59"/>
    <w:rsid w:val="001424D6"/>
    <w:rsid w:val="00146C53"/>
    <w:rsid w:val="001532D0"/>
    <w:rsid w:val="001718FD"/>
    <w:rsid w:val="001771F9"/>
    <w:rsid w:val="00251A1A"/>
    <w:rsid w:val="00276421"/>
    <w:rsid w:val="002A68A6"/>
    <w:rsid w:val="002B20A9"/>
    <w:rsid w:val="002E4943"/>
    <w:rsid w:val="003408B3"/>
    <w:rsid w:val="0035665A"/>
    <w:rsid w:val="003D0292"/>
    <w:rsid w:val="003D1776"/>
    <w:rsid w:val="00484B48"/>
    <w:rsid w:val="004A0651"/>
    <w:rsid w:val="004B41C6"/>
    <w:rsid w:val="004C29BB"/>
    <w:rsid w:val="004D0B00"/>
    <w:rsid w:val="004F13CF"/>
    <w:rsid w:val="004F464A"/>
    <w:rsid w:val="005122FA"/>
    <w:rsid w:val="0053612B"/>
    <w:rsid w:val="005822C2"/>
    <w:rsid w:val="005F583D"/>
    <w:rsid w:val="00624ECA"/>
    <w:rsid w:val="00626E0F"/>
    <w:rsid w:val="00634187"/>
    <w:rsid w:val="00643D11"/>
    <w:rsid w:val="006618C3"/>
    <w:rsid w:val="0067731A"/>
    <w:rsid w:val="00680041"/>
    <w:rsid w:val="006A2305"/>
    <w:rsid w:val="006B1682"/>
    <w:rsid w:val="006B3DA9"/>
    <w:rsid w:val="006E390A"/>
    <w:rsid w:val="007110B0"/>
    <w:rsid w:val="007275B1"/>
    <w:rsid w:val="00746651"/>
    <w:rsid w:val="0077193A"/>
    <w:rsid w:val="00772C44"/>
    <w:rsid w:val="007A7764"/>
    <w:rsid w:val="007B6E78"/>
    <w:rsid w:val="007C0E18"/>
    <w:rsid w:val="007C35A8"/>
    <w:rsid w:val="00826640"/>
    <w:rsid w:val="00837873"/>
    <w:rsid w:val="0084040C"/>
    <w:rsid w:val="008476C6"/>
    <w:rsid w:val="00857478"/>
    <w:rsid w:val="00860F2B"/>
    <w:rsid w:val="00875770"/>
    <w:rsid w:val="0089178E"/>
    <w:rsid w:val="00893F38"/>
    <w:rsid w:val="008E5053"/>
    <w:rsid w:val="008F477F"/>
    <w:rsid w:val="008F72C8"/>
    <w:rsid w:val="00916AC7"/>
    <w:rsid w:val="0095628A"/>
    <w:rsid w:val="00977ADB"/>
    <w:rsid w:val="009A59EA"/>
    <w:rsid w:val="009D1A0F"/>
    <w:rsid w:val="009E0FEA"/>
    <w:rsid w:val="00A34416"/>
    <w:rsid w:val="00A61AC9"/>
    <w:rsid w:val="00A76AD3"/>
    <w:rsid w:val="00AB4BAE"/>
    <w:rsid w:val="00AC67C4"/>
    <w:rsid w:val="00AD38CA"/>
    <w:rsid w:val="00AF5BC9"/>
    <w:rsid w:val="00B01E20"/>
    <w:rsid w:val="00B13C1A"/>
    <w:rsid w:val="00B1455A"/>
    <w:rsid w:val="00B2660B"/>
    <w:rsid w:val="00B47CFE"/>
    <w:rsid w:val="00B850C9"/>
    <w:rsid w:val="00B92318"/>
    <w:rsid w:val="00C17A52"/>
    <w:rsid w:val="00C23302"/>
    <w:rsid w:val="00C33076"/>
    <w:rsid w:val="00C44650"/>
    <w:rsid w:val="00C4526B"/>
    <w:rsid w:val="00C67037"/>
    <w:rsid w:val="00C73F60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B4C93"/>
    <w:rsid w:val="00E32F53"/>
    <w:rsid w:val="00E4723E"/>
    <w:rsid w:val="00E51C64"/>
    <w:rsid w:val="00E5600F"/>
    <w:rsid w:val="00E57F2C"/>
    <w:rsid w:val="00E63874"/>
    <w:rsid w:val="00E958E8"/>
    <w:rsid w:val="00EA0C7A"/>
    <w:rsid w:val="00EB6A44"/>
    <w:rsid w:val="00EE1F69"/>
    <w:rsid w:val="00F03BC8"/>
    <w:rsid w:val="00F06AF1"/>
    <w:rsid w:val="00F074C8"/>
    <w:rsid w:val="00F13990"/>
    <w:rsid w:val="00F43E0F"/>
    <w:rsid w:val="00FA2E0B"/>
    <w:rsid w:val="00FA7431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A1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251A1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Lienhypertexte">
    <w:name w:val="Hyperlink"/>
    <w:basedOn w:val="Policepardfaut"/>
    <w:uiPriority w:val="99"/>
    <w:unhideWhenUsed/>
    <w:rsid w:val="00251A1A"/>
    <w:rPr>
      <w:color w:val="0000FF" w:themeColor="hyperlink"/>
      <w:u w:val="single"/>
    </w:rPr>
  </w:style>
  <w:style w:type="paragraph" w:customStyle="1" w:styleId="danormal">
    <w:name w:val="danormal"/>
    <w:rsid w:val="00251A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zh-TW" w:bidi="he-IL"/>
    </w:rPr>
  </w:style>
  <w:style w:type="character" w:styleId="Mentionnonrsolue">
    <w:name w:val="Unresolved Mention"/>
    <w:basedOn w:val="Policepardfaut"/>
    <w:uiPriority w:val="99"/>
    <w:semiHidden/>
    <w:unhideWhenUsed/>
    <w:rsid w:val="00A3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2020-06-15T15:36:00Z</dcterms:created>
  <dcterms:modified xsi:type="dcterms:W3CDTF">2020-06-15T15:40:00Z</dcterms:modified>
</cp:coreProperties>
</file>