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40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89178E" w14:paraId="4713D40A" w14:textId="77777777" w:rsidTr="00CD0CEC">
        <w:tc>
          <w:tcPr>
            <w:tcW w:w="10205" w:type="dxa"/>
          </w:tcPr>
          <w:p w14:paraId="69F069B2" w14:textId="10FD2B45" w:rsidR="0089178E" w:rsidRDefault="0089178E" w:rsidP="00DE6A2A">
            <w:pPr>
              <w:spacing w:after="0"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CE4DF8">
              <w:rPr>
                <w:rFonts w:eastAsia="Times New Roman"/>
                <w:b/>
                <w:szCs w:val="22"/>
              </w:rPr>
              <w:tab/>
              <w:t>2020</w:t>
            </w:r>
            <w:r w:rsidR="00CE4DF8">
              <w:rPr>
                <w:rFonts w:eastAsia="Times New Roman"/>
                <w:b/>
                <w:szCs w:val="22"/>
              </w:rPr>
              <w:br/>
            </w:r>
            <w:hyperlink r:id="rId7" w:history="1">
              <w:r w:rsidR="00CE4DF8" w:rsidRPr="00011D1C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CE4DF8">
              <w:rPr>
                <w:rFonts w:eastAsia="Times New Roman"/>
                <w:b/>
                <w:color w:val="595959" w:themeColor="text1" w:themeTint="A6"/>
                <w:szCs w:val="22"/>
              </w:rPr>
              <w:t xml:space="preserve"> </w:t>
            </w:r>
          </w:p>
        </w:tc>
      </w:tr>
      <w:tr w:rsidR="0089178E" w14:paraId="129B2E26" w14:textId="77777777" w:rsidTr="00CD0CEC">
        <w:tc>
          <w:tcPr>
            <w:tcW w:w="10205" w:type="dxa"/>
          </w:tcPr>
          <w:p w14:paraId="2EF13902" w14:textId="39A59780" w:rsidR="0089178E" w:rsidRPr="00893F38" w:rsidRDefault="0089178E" w:rsidP="00DE6A2A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1451ABE3" w:rsidR="0089178E" w:rsidRPr="00626E0F" w:rsidRDefault="0089178E" w:rsidP="00DE6A2A">
            <w:pPr>
              <w:spacing w:after="0"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6275C4DF" w:rsidR="0089178E" w:rsidRPr="00626E0F" w:rsidRDefault="0089178E" w:rsidP="00DE6A2A">
            <w:pPr>
              <w:spacing w:after="0"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CD0CEC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h</w:t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CE4DF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09E7384C" w14:textId="77777777" w:rsidR="00FD3FD0" w:rsidRPr="00E7616B" w:rsidRDefault="00FD3FD0" w:rsidP="00FD3FD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Arial"/>
          <w:b/>
          <w:iCs/>
          <w:lang w:eastAsia="en-US"/>
        </w:rPr>
      </w:pPr>
      <w:bookmarkStart w:id="0" w:name="_Hlk19435773"/>
      <w:r w:rsidRPr="00E7616B">
        <w:rPr>
          <w:rFonts w:cs="Arial"/>
          <w:b/>
          <w:iCs/>
          <w:lang w:eastAsia="en-US"/>
        </w:rPr>
        <w:t>Recyclage d’une solution de bouillie bordelaise (10 points)</w:t>
      </w:r>
    </w:p>
    <w:p w14:paraId="066781AC" w14:textId="1B021C91" w:rsidR="00FD3FD0" w:rsidRPr="00E7616B" w:rsidRDefault="00FD3FD0" w:rsidP="00FD3FD0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lang w:eastAsia="en-US"/>
        </w:rPr>
      </w:pPr>
      <w:r w:rsidRPr="00E7616B">
        <w:rPr>
          <w:rFonts w:cs="Arial"/>
          <w:noProof/>
          <w:color w:val="333333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08F5DDC" wp14:editId="3B0EB9FF">
            <wp:simplePos x="0" y="0"/>
            <wp:positionH relativeFrom="column">
              <wp:posOffset>-32385</wp:posOffset>
            </wp:positionH>
            <wp:positionV relativeFrom="paragraph">
              <wp:posOffset>45085</wp:posOffset>
            </wp:positionV>
            <wp:extent cx="1064895" cy="1425575"/>
            <wp:effectExtent l="0" t="0" r="1905" b="3175"/>
            <wp:wrapSquare wrapText="bothSides"/>
            <wp:docPr id="8" name="Image 2" descr="C:\Users\samsung\Documents\cours\bac 2019\sujet\P117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ocuments\cours\bac 2019\sujet\P11708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65097" w14:textId="2968228C" w:rsidR="00FD3FD0" w:rsidRPr="00E7616B" w:rsidRDefault="00FD3FD0" w:rsidP="00DE6A2A">
      <w:p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</w:rPr>
      </w:pPr>
      <w:r w:rsidRPr="00E7616B">
        <w:rPr>
          <w:rFonts w:eastAsia="Times New Roman" w:cs="Arial"/>
        </w:rPr>
        <w:t xml:space="preserve">La bouillie bordelaise peut être utilisée par les jardiniers pour traiter le potager ou les arbres fruitiers contre certaines maladies. Dans le commerce, elle est vendue sous la forme d'une poudre à dissoudre dans de l’eau. </w:t>
      </w:r>
    </w:p>
    <w:p w14:paraId="5DAE9808" w14:textId="77777777" w:rsidR="00FD3FD0" w:rsidRPr="00E7616B" w:rsidRDefault="00FD3FD0" w:rsidP="00DE6A2A">
      <w:p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</w:rPr>
      </w:pPr>
      <w:r w:rsidRPr="00E7616B">
        <w:rPr>
          <w:rFonts w:eastAsia="Times New Roman" w:cs="Arial"/>
        </w:rPr>
        <w:t>Cette poudre est constituée de sulfate de cuivre hydraté CuSO</w:t>
      </w:r>
      <w:r w:rsidRPr="00E7616B">
        <w:rPr>
          <w:rFonts w:eastAsia="Times New Roman" w:cs="Arial"/>
          <w:vertAlign w:val="subscript"/>
        </w:rPr>
        <w:t>4</w:t>
      </w:r>
      <w:r w:rsidRPr="00E7616B">
        <w:rPr>
          <w:rFonts w:eastAsia="Times New Roman" w:cs="Arial"/>
        </w:rPr>
        <w:t>,5H</w:t>
      </w:r>
      <w:r w:rsidRPr="00E7616B">
        <w:rPr>
          <w:rFonts w:eastAsia="Times New Roman" w:cs="Arial"/>
          <w:vertAlign w:val="subscript"/>
        </w:rPr>
        <w:t>2</w:t>
      </w:r>
      <w:r w:rsidRPr="00E7616B">
        <w:rPr>
          <w:rFonts w:eastAsia="Times New Roman" w:cs="Arial"/>
        </w:rPr>
        <w:t xml:space="preserve">O(s) et d’hydroxyde de calcium </w:t>
      </w:r>
      <w:proofErr w:type="gramStart"/>
      <w:r w:rsidRPr="00E7616B">
        <w:rPr>
          <w:rFonts w:eastAsia="Times New Roman" w:cs="Arial"/>
        </w:rPr>
        <w:t>Ca(</w:t>
      </w:r>
      <w:proofErr w:type="gramEnd"/>
      <w:r w:rsidRPr="00E7616B">
        <w:rPr>
          <w:rFonts w:eastAsia="Times New Roman" w:cs="Arial"/>
        </w:rPr>
        <w:t>OH)</w:t>
      </w:r>
      <w:r w:rsidRPr="00E7616B">
        <w:rPr>
          <w:rFonts w:eastAsia="Times New Roman" w:cs="Arial"/>
          <w:vertAlign w:val="subscript"/>
        </w:rPr>
        <w:t>2</w:t>
      </w:r>
      <w:r w:rsidRPr="00E7616B">
        <w:rPr>
          <w:rFonts w:eastAsia="Times New Roman" w:cs="Arial"/>
        </w:rPr>
        <w:t>(s).</w:t>
      </w:r>
    </w:p>
    <w:p w14:paraId="0E0B4952" w14:textId="77777777" w:rsidR="00FD3FD0" w:rsidRPr="00E7616B" w:rsidRDefault="00FD3FD0" w:rsidP="00DE6A2A">
      <w:p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</w:rPr>
      </w:pPr>
      <w:r w:rsidRPr="00E7616B">
        <w:rPr>
          <w:rFonts w:eastAsia="Times New Roman" w:cs="Arial"/>
        </w:rPr>
        <w:t>On obtient, par dissolution de cette poudre dans l’eau, une solution contenant des ions cuivre Cu</w:t>
      </w:r>
      <w:r w:rsidRPr="00E7616B">
        <w:rPr>
          <w:rFonts w:eastAsia="Times New Roman" w:cs="Arial"/>
          <w:vertAlign w:val="superscript"/>
        </w:rPr>
        <w:t>2+</w:t>
      </w:r>
      <w:r w:rsidRPr="00E7616B">
        <w:rPr>
          <w:rFonts w:eastAsia="Times New Roman" w:cs="Arial"/>
        </w:rPr>
        <w:t xml:space="preserve"> à pulvériser sur les végétaux.</w:t>
      </w:r>
    </w:p>
    <w:p w14:paraId="62087D2B" w14:textId="77777777" w:rsidR="00FD3FD0" w:rsidRPr="00E7616B" w:rsidRDefault="00FD3FD0" w:rsidP="00DE6A2A">
      <w:p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</w:rPr>
      </w:pPr>
      <w:r w:rsidRPr="00E7616B">
        <w:rPr>
          <w:rFonts w:eastAsia="Times New Roman" w:cs="Arial"/>
        </w:rPr>
        <w:t>Comme tout produit de traitement, cette solution doit être utilisée en respectant des concentrations précises. En effet au-delà d’un certain seuil, le cuivre est toxique pour l’Homme et l’environnement.</w:t>
      </w:r>
    </w:p>
    <w:p w14:paraId="7AB6C52A" w14:textId="77777777" w:rsidR="00FD3FD0" w:rsidRPr="00E7616B" w:rsidRDefault="00FD3FD0" w:rsidP="00DE6A2A">
      <w:p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="Arial"/>
        </w:rPr>
      </w:pPr>
      <w:r w:rsidRPr="00E7616B">
        <w:rPr>
          <w:rFonts w:eastAsia="Times New Roman" w:cs="Arial"/>
        </w:rPr>
        <w:t xml:space="preserve">Le but de l’exercice est de déterminer si la solution de bouillie bordelaise notée S, fabriquée en trop grande quantité par un jardinier amateur, peut être jetée à l’évier ou doit être traitée ou recyclée </w:t>
      </w:r>
    </w:p>
    <w:p w14:paraId="50B6E7B3" w14:textId="77777777" w:rsidR="00FD3FD0" w:rsidRPr="00E7616B" w:rsidRDefault="00FD3FD0" w:rsidP="00FD3FD0">
      <w:pPr>
        <w:spacing w:after="0" w:line="240" w:lineRule="auto"/>
        <w:ind w:left="0"/>
        <w:rPr>
          <w:rFonts w:cs="Arial"/>
          <w:b/>
          <w:lang w:eastAsia="en-US"/>
        </w:rPr>
      </w:pPr>
    </w:p>
    <w:p w14:paraId="13E39938" w14:textId="77777777" w:rsidR="00FD3FD0" w:rsidRPr="00E7616B" w:rsidRDefault="00FD3FD0" w:rsidP="00FD3FD0">
      <w:pPr>
        <w:spacing w:after="0" w:line="240" w:lineRule="auto"/>
        <w:ind w:left="0"/>
        <w:rPr>
          <w:rFonts w:cs="Arial"/>
          <w:b/>
          <w:lang w:eastAsia="en-US"/>
        </w:rPr>
      </w:pPr>
      <w:r w:rsidRPr="00E7616B">
        <w:rPr>
          <w:rFonts w:cs="Arial"/>
          <w:b/>
          <w:lang w:eastAsia="en-US"/>
        </w:rPr>
        <w:t>Données :</w:t>
      </w:r>
    </w:p>
    <w:p w14:paraId="1D79AEFF" w14:textId="0DD03E5A" w:rsidR="00FD3FD0" w:rsidRPr="00E7616B" w:rsidRDefault="00FD3FD0" w:rsidP="00DE6A2A">
      <w:pPr>
        <w:numPr>
          <w:ilvl w:val="0"/>
          <w:numId w:val="8"/>
        </w:numPr>
        <w:spacing w:after="0" w:line="240" w:lineRule="auto"/>
        <w:ind w:left="567" w:hanging="283"/>
        <w:contextualSpacing/>
        <w:jc w:val="both"/>
        <w:rPr>
          <w:rFonts w:cs="Arial"/>
          <w:lang w:eastAsia="en-US"/>
        </w:rPr>
      </w:pPr>
      <w:r w:rsidRPr="00E7616B">
        <w:rPr>
          <w:rFonts w:cs="Arial"/>
          <w:lang w:eastAsia="en-US"/>
        </w:rPr>
        <w:t>Concentration en masse limite d’ions Cu</w:t>
      </w:r>
      <w:r w:rsidRPr="00E7616B">
        <w:rPr>
          <w:rFonts w:cs="Arial"/>
          <w:vertAlign w:val="superscript"/>
          <w:lang w:eastAsia="en-US"/>
        </w:rPr>
        <w:t>2+</w:t>
      </w:r>
      <w:r w:rsidRPr="00E7616B">
        <w:rPr>
          <w:rFonts w:cs="Arial"/>
          <w:lang w:eastAsia="en-US"/>
        </w:rPr>
        <w:t xml:space="preserve"> pour les rejets dans les eaux usées :  </w:t>
      </w:r>
      <w:r w:rsidRPr="00E7616B">
        <w:rPr>
          <w:rFonts w:cs="Arial"/>
          <w:i/>
          <w:lang w:eastAsia="en-US"/>
        </w:rPr>
        <w:t>C</w:t>
      </w:r>
      <w:r w:rsidRPr="00E7616B">
        <w:rPr>
          <w:rFonts w:cs="Arial"/>
          <w:i/>
          <w:vertAlign w:val="subscript"/>
          <w:lang w:eastAsia="en-US"/>
        </w:rPr>
        <w:t>m</w:t>
      </w:r>
      <w:r w:rsidRPr="00E7616B">
        <w:rPr>
          <w:rFonts w:cs="Arial"/>
          <w:lang w:eastAsia="en-US"/>
        </w:rPr>
        <w:t xml:space="preserve"> = 0,5</w:t>
      </w:r>
      <w:r w:rsidR="00DE6A2A">
        <w:rPr>
          <w:rFonts w:cs="Arial"/>
          <w:lang w:eastAsia="en-US"/>
        </w:rPr>
        <w:t> </w:t>
      </w:r>
      <w:r w:rsidRPr="00E7616B">
        <w:rPr>
          <w:rFonts w:cs="Arial"/>
          <w:lang w:eastAsia="en-US"/>
        </w:rPr>
        <w:t>mg par litre d’eau déversée</w:t>
      </w:r>
    </w:p>
    <w:p w14:paraId="603B2235" w14:textId="77777777" w:rsidR="00FD3FD0" w:rsidRPr="00E7616B" w:rsidRDefault="00FD3FD0" w:rsidP="00FD3FD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cs="Arial"/>
          <w:lang w:eastAsia="en-US"/>
        </w:rPr>
      </w:pPr>
      <w:r w:rsidRPr="00E7616B">
        <w:rPr>
          <w:rFonts w:cs="Arial"/>
          <w:lang w:eastAsia="en-US"/>
        </w:rPr>
        <w:t xml:space="preserve">Masse molaire atomique du cuivre :   </w:t>
      </w:r>
      <w:r w:rsidRPr="00E7616B">
        <w:rPr>
          <w:rFonts w:cs="Arial"/>
          <w:i/>
          <w:lang w:eastAsia="en-US"/>
        </w:rPr>
        <w:t>M(Cu)</w:t>
      </w:r>
      <w:r w:rsidRPr="00E7616B">
        <w:rPr>
          <w:rFonts w:cs="Arial"/>
          <w:lang w:eastAsia="en-US"/>
        </w:rPr>
        <w:t xml:space="preserve"> = 63,5 g·mol</w:t>
      </w:r>
      <w:r w:rsidRPr="00E7616B">
        <w:rPr>
          <w:rFonts w:cs="Arial"/>
          <w:vertAlign w:val="superscript"/>
          <w:lang w:eastAsia="en-US"/>
        </w:rPr>
        <w:t>−1</w:t>
      </w:r>
    </w:p>
    <w:p w14:paraId="579C4696" w14:textId="77777777" w:rsidR="00FD3FD0" w:rsidRPr="00E7616B" w:rsidRDefault="00FD3FD0" w:rsidP="00FD3FD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cs="Arial"/>
          <w:lang w:eastAsia="en-US"/>
        </w:rPr>
      </w:pPr>
      <w:r w:rsidRPr="00E7616B">
        <w:rPr>
          <w:rFonts w:cs="Arial"/>
          <w:lang w:eastAsia="en-US"/>
        </w:rPr>
        <w:t xml:space="preserve">Masse molaire de l’hydroxyde de sodium : </w:t>
      </w:r>
      <w:r w:rsidRPr="00E7616B">
        <w:rPr>
          <w:rFonts w:cs="Arial"/>
          <w:i/>
          <w:lang w:eastAsia="en-US"/>
        </w:rPr>
        <w:t>M(</w:t>
      </w:r>
      <w:proofErr w:type="spellStart"/>
      <w:r w:rsidRPr="00E7616B">
        <w:rPr>
          <w:rFonts w:cs="Arial"/>
          <w:i/>
          <w:lang w:eastAsia="en-US"/>
        </w:rPr>
        <w:t>NaOH</w:t>
      </w:r>
      <w:proofErr w:type="spellEnd"/>
      <w:r w:rsidRPr="00E7616B">
        <w:rPr>
          <w:rFonts w:cs="Arial"/>
          <w:i/>
          <w:lang w:eastAsia="en-US"/>
        </w:rPr>
        <w:t>)</w:t>
      </w:r>
      <w:r w:rsidRPr="00E7616B">
        <w:rPr>
          <w:rFonts w:cs="Arial"/>
          <w:lang w:eastAsia="en-US"/>
        </w:rPr>
        <w:t xml:space="preserve"> = 40,0 g·mol</w:t>
      </w:r>
      <w:r w:rsidRPr="00E7616B">
        <w:rPr>
          <w:rFonts w:cs="Arial"/>
          <w:vertAlign w:val="superscript"/>
          <w:lang w:eastAsia="en-US"/>
        </w:rPr>
        <w:t>−1</w:t>
      </w:r>
    </w:p>
    <w:p w14:paraId="214CC196" w14:textId="77777777" w:rsidR="00FD3FD0" w:rsidRPr="00E7616B" w:rsidRDefault="00FD3FD0" w:rsidP="00FD3FD0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cs="Arial"/>
          <w:lang w:eastAsia="en-US"/>
        </w:rPr>
      </w:pPr>
      <w:r w:rsidRPr="00E7616B">
        <w:rPr>
          <w:rFonts w:cs="Arial"/>
          <w:lang w:eastAsia="en-US"/>
        </w:rPr>
        <w:t>Cercle chromatique :</w:t>
      </w:r>
    </w:p>
    <w:p w14:paraId="18AB49D9" w14:textId="77777777" w:rsidR="00FD3FD0" w:rsidRPr="00E7616B" w:rsidRDefault="00FD3FD0" w:rsidP="00FD3FD0">
      <w:pPr>
        <w:spacing w:after="0" w:line="240" w:lineRule="auto"/>
        <w:ind w:left="360"/>
        <w:contextualSpacing/>
        <w:jc w:val="center"/>
        <w:rPr>
          <w:rFonts w:cs="Arial"/>
          <w:lang w:eastAsia="en-US"/>
        </w:rPr>
      </w:pPr>
      <w:r w:rsidRPr="00E7616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BA493E" wp14:editId="6998A8B0">
            <wp:extent cx="1929725" cy="1656272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46" cy="16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6BF67" w14:textId="77777777" w:rsidR="00FD3FD0" w:rsidRPr="00E7616B" w:rsidRDefault="00FD3FD0" w:rsidP="00FD3FD0">
      <w:pPr>
        <w:spacing w:after="0" w:line="240" w:lineRule="auto"/>
        <w:ind w:left="0"/>
        <w:contextualSpacing/>
        <w:rPr>
          <w:rFonts w:cs="Arial"/>
          <w:lang w:eastAsia="en-US"/>
        </w:rPr>
      </w:pPr>
    </w:p>
    <w:p w14:paraId="2D9370E0" w14:textId="1E1D0798" w:rsidR="00FD3FD0" w:rsidRPr="00DE6A2A" w:rsidRDefault="00FD3FD0" w:rsidP="001238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cs="Arial"/>
          <w:bCs/>
          <w:lang w:eastAsia="en-US"/>
        </w:rPr>
      </w:pPr>
      <w:r w:rsidRPr="00DE6A2A">
        <w:rPr>
          <w:rFonts w:cs="Arial"/>
          <w:bCs/>
          <w:lang w:eastAsia="en-US"/>
        </w:rPr>
        <w:t xml:space="preserve">Spectre d’absorbance d’une solution aqueuse de sulfate de cuivre </w:t>
      </w:r>
      <w:r w:rsidRPr="00DE6A2A">
        <w:rPr>
          <w:rFonts w:cs="Arial"/>
          <w:bCs/>
          <w:lang w:eastAsia="en-US"/>
        </w:rPr>
        <w:br/>
        <w:t>(Cu</w:t>
      </w:r>
      <w:r w:rsidRPr="00DE6A2A">
        <w:rPr>
          <w:rFonts w:cs="Arial"/>
          <w:bCs/>
          <w:vertAlign w:val="superscript"/>
          <w:lang w:eastAsia="en-US"/>
        </w:rPr>
        <w:t>2+</w:t>
      </w:r>
      <w:r w:rsidRPr="00DE6A2A">
        <w:rPr>
          <w:rFonts w:cs="Arial"/>
          <w:bCs/>
          <w:lang w:eastAsia="en-US"/>
        </w:rPr>
        <w:t xml:space="preserve"> (aq) + SO</w:t>
      </w:r>
      <w:r w:rsidRPr="00DE6A2A">
        <w:rPr>
          <w:rFonts w:cs="Arial"/>
          <w:bCs/>
          <w:vertAlign w:val="subscript"/>
          <w:lang w:eastAsia="en-US"/>
        </w:rPr>
        <w:t>4</w:t>
      </w:r>
      <w:r w:rsidRPr="00DE6A2A">
        <w:rPr>
          <w:rFonts w:cs="Arial"/>
          <w:bCs/>
          <w:vertAlign w:val="superscript"/>
          <w:lang w:eastAsia="en-US"/>
        </w:rPr>
        <w:t>2-</w:t>
      </w:r>
      <w:r w:rsidRPr="00DE6A2A">
        <w:rPr>
          <w:rFonts w:cs="Arial"/>
          <w:bCs/>
          <w:lang w:eastAsia="en-US"/>
        </w:rPr>
        <w:t>(aq)) :</w:t>
      </w:r>
    </w:p>
    <w:p w14:paraId="0C5E020B" w14:textId="77777777" w:rsidR="00FD3FD0" w:rsidRPr="00E7616B" w:rsidRDefault="00FD3FD0" w:rsidP="00FD3FD0">
      <w:p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cs="Arial"/>
          <w:bCs/>
          <w:lang w:eastAsia="en-US"/>
        </w:rPr>
      </w:pPr>
      <w:r w:rsidRPr="00E7616B">
        <w:rPr>
          <w:rFonts w:ascii="Calibri" w:hAnsi="Calibri"/>
          <w:noProof/>
          <w:sz w:val="22"/>
          <w:szCs w:val="22"/>
        </w:rPr>
        <w:drawing>
          <wp:inline distT="0" distB="0" distL="0" distR="0" wp14:anchorId="208C47A0" wp14:editId="41BADC8A">
            <wp:extent cx="4349363" cy="2298080"/>
            <wp:effectExtent l="0" t="0" r="0" b="698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59" cy="22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B3285" w14:textId="6E679282" w:rsidR="00DE6A2A" w:rsidRPr="00DE6A2A" w:rsidRDefault="00FD3FD0" w:rsidP="008B6FE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3"/>
        <w:contextualSpacing/>
        <w:rPr>
          <w:rFonts w:cs="Arial"/>
          <w:lang w:eastAsia="en-US"/>
        </w:rPr>
      </w:pPr>
      <w:r w:rsidRPr="00DE6A2A">
        <w:rPr>
          <w:rFonts w:cs="Arial"/>
          <w:lang w:eastAsia="en-US"/>
        </w:rPr>
        <w:t>L’espèce ionique Cu</w:t>
      </w:r>
      <w:r w:rsidRPr="00DE6A2A">
        <w:rPr>
          <w:rFonts w:cs="Arial"/>
          <w:vertAlign w:val="superscript"/>
          <w:lang w:eastAsia="en-US"/>
        </w:rPr>
        <w:t>2+</w:t>
      </w:r>
      <w:r w:rsidRPr="00DE6A2A">
        <w:rPr>
          <w:rFonts w:cs="Arial"/>
          <w:lang w:eastAsia="en-US"/>
        </w:rPr>
        <w:t xml:space="preserve"> (aq) est responsable de la couleur de la solution aqueuse.</w:t>
      </w:r>
      <w:r w:rsidR="00DE6A2A" w:rsidRPr="00DE6A2A">
        <w:rPr>
          <w:rFonts w:cs="Arial"/>
          <w:lang w:eastAsia="en-US"/>
        </w:rPr>
        <w:br w:type="page"/>
      </w:r>
    </w:p>
    <w:p w14:paraId="0D60FB9F" w14:textId="77777777" w:rsidR="00FD3FD0" w:rsidRPr="00E7616B" w:rsidRDefault="00FD3FD0" w:rsidP="00FD3F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cs="Arial"/>
          <w:lang w:eastAsia="en-US"/>
        </w:rPr>
      </w:pPr>
      <w:r w:rsidRPr="00E7616B">
        <w:rPr>
          <w:rFonts w:cs="Arial"/>
          <w:lang w:eastAsia="en-US"/>
        </w:rPr>
        <w:lastRenderedPageBreak/>
        <w:t>Déterminer la couleur de l’espèce ionique Cu</w:t>
      </w:r>
      <w:r w:rsidRPr="00E7616B">
        <w:rPr>
          <w:rFonts w:cs="Arial"/>
          <w:vertAlign w:val="superscript"/>
          <w:lang w:eastAsia="en-US"/>
        </w:rPr>
        <w:t>2+</w:t>
      </w:r>
      <w:r w:rsidRPr="00E7616B">
        <w:rPr>
          <w:rFonts w:cs="Arial"/>
          <w:lang w:eastAsia="en-US"/>
        </w:rPr>
        <w:t>(aq) en solution aqueuse. Justifier.</w:t>
      </w:r>
    </w:p>
    <w:p w14:paraId="5CA1BA5B" w14:textId="77777777" w:rsidR="00FD3FD0" w:rsidRPr="00E7616B" w:rsidRDefault="00FD3FD0" w:rsidP="00FD3FD0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Cs/>
          <w:lang w:eastAsia="en-US"/>
        </w:rPr>
      </w:pPr>
    </w:p>
    <w:p w14:paraId="43772CB8" w14:textId="77777777" w:rsidR="00FD3FD0" w:rsidRPr="00E7616B" w:rsidRDefault="00FD3FD0" w:rsidP="00DE6A2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lang w:eastAsia="en-US"/>
        </w:rPr>
      </w:pPr>
      <w:r w:rsidRPr="00E7616B">
        <w:rPr>
          <w:rFonts w:cs="Arial"/>
          <w:bCs/>
          <w:lang w:eastAsia="en-US"/>
        </w:rPr>
        <w:t>On souhaite déterminer la concentration en quantité de matière d’ions cuivre Cu</w:t>
      </w:r>
      <w:r w:rsidRPr="00E7616B">
        <w:rPr>
          <w:rFonts w:cs="Arial"/>
          <w:bCs/>
          <w:vertAlign w:val="superscript"/>
          <w:lang w:eastAsia="en-US"/>
        </w:rPr>
        <w:t>2+</w:t>
      </w:r>
      <w:r w:rsidRPr="00E7616B">
        <w:rPr>
          <w:rFonts w:cs="Arial"/>
          <w:bCs/>
          <w:lang w:eastAsia="en-US"/>
        </w:rPr>
        <w:t>(aq) de la solution de bouillie bordelaise S, par un dosage spectrophotométrique. On réalise pour cela une gamme étalon et des mesures d’absorbance à la longueur d’onde 810 nm.</w:t>
      </w:r>
    </w:p>
    <w:p w14:paraId="4DFB6BC1" w14:textId="77777777" w:rsidR="00FD3FD0" w:rsidRPr="00E7616B" w:rsidRDefault="00FD3FD0" w:rsidP="00DE6A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="Arial"/>
          <w:bCs/>
          <w:lang w:eastAsia="en-US"/>
        </w:rPr>
      </w:pPr>
      <w:r w:rsidRPr="00E7616B">
        <w:rPr>
          <w:rFonts w:cs="Arial"/>
          <w:bCs/>
          <w:lang w:eastAsia="en-US"/>
        </w:rPr>
        <w:t>Expliquer en quelques lignes le principe de cette méthode de dosage.</w:t>
      </w:r>
    </w:p>
    <w:p w14:paraId="4161ADF2" w14:textId="3B3BDAD4" w:rsidR="00FD3FD0" w:rsidRPr="00E7616B" w:rsidRDefault="00FD3FD0" w:rsidP="00DE6A2A">
      <w:pPr>
        <w:spacing w:after="0" w:line="240" w:lineRule="auto"/>
        <w:ind w:left="0"/>
        <w:jc w:val="both"/>
        <w:rPr>
          <w:rFonts w:cs="Arial"/>
          <w:lang w:eastAsia="en-US"/>
        </w:rPr>
      </w:pPr>
      <w:r w:rsidRPr="00E7616B">
        <w:rPr>
          <w:rFonts w:cs="Arial"/>
          <w:lang w:eastAsia="en-US"/>
        </w:rPr>
        <w:t>On dispose d’une solution mère de sulfate de cuivre S</w:t>
      </w:r>
      <w:r w:rsidRPr="00E7616B">
        <w:rPr>
          <w:rFonts w:cs="Arial"/>
          <w:vertAlign w:val="subscript"/>
          <w:lang w:eastAsia="en-US"/>
        </w:rPr>
        <w:t>0</w:t>
      </w:r>
      <w:r w:rsidRPr="00E7616B">
        <w:rPr>
          <w:rFonts w:cs="Arial"/>
          <w:lang w:eastAsia="en-US"/>
        </w:rPr>
        <w:t xml:space="preserve"> de concentration en quantité de matière d’ions cuivre Cu </w:t>
      </w:r>
      <w:r w:rsidRPr="00E7616B">
        <w:rPr>
          <w:rFonts w:cs="Arial"/>
          <w:vertAlign w:val="superscript"/>
          <w:lang w:eastAsia="en-US"/>
        </w:rPr>
        <w:t>2+</w:t>
      </w:r>
      <w:r w:rsidRPr="00E7616B">
        <w:rPr>
          <w:rFonts w:cs="Arial"/>
          <w:lang w:eastAsia="en-US"/>
        </w:rPr>
        <w:t>(aq)</w:t>
      </w:r>
      <w:r w:rsidRPr="00E7616B">
        <w:rPr>
          <w:rFonts w:cs="Arial"/>
          <w:vertAlign w:val="superscript"/>
          <w:lang w:eastAsia="en-US"/>
        </w:rPr>
        <w:t xml:space="preserve"> </w:t>
      </w:r>
      <w:r w:rsidRPr="00E7616B">
        <w:rPr>
          <w:rFonts w:cs="Arial"/>
          <w:lang w:eastAsia="en-US"/>
        </w:rPr>
        <w:t>égale à C</w:t>
      </w:r>
      <w:r w:rsidRPr="00E7616B">
        <w:rPr>
          <w:rFonts w:cs="Arial"/>
          <w:i/>
          <w:vertAlign w:val="subscript"/>
          <w:lang w:eastAsia="en-US"/>
        </w:rPr>
        <w:t>0</w:t>
      </w:r>
      <w:r w:rsidRPr="00E7616B">
        <w:rPr>
          <w:rFonts w:cs="Arial"/>
          <w:vertAlign w:val="subscript"/>
          <w:lang w:eastAsia="en-US"/>
        </w:rPr>
        <w:t xml:space="preserve"> </w:t>
      </w:r>
      <w:r w:rsidRPr="00E7616B">
        <w:rPr>
          <w:rFonts w:cs="Arial"/>
          <w:lang w:eastAsia="en-US"/>
        </w:rPr>
        <w:t>= 0,040 mol·L</w:t>
      </w:r>
      <w:r w:rsidRPr="00E7616B">
        <w:rPr>
          <w:rFonts w:cs="Arial"/>
          <w:vertAlign w:val="superscript"/>
          <w:lang w:eastAsia="en-US"/>
        </w:rPr>
        <w:t>-1</w:t>
      </w:r>
      <w:r w:rsidRPr="00E7616B">
        <w:rPr>
          <w:rFonts w:cs="Arial"/>
          <w:lang w:eastAsia="en-US"/>
        </w:rPr>
        <w:t>. À partir de cette solution S</w:t>
      </w:r>
      <w:r w:rsidRPr="00E7616B">
        <w:rPr>
          <w:rFonts w:cs="Arial"/>
          <w:vertAlign w:val="subscript"/>
          <w:lang w:eastAsia="en-US"/>
        </w:rPr>
        <w:t>0</w:t>
      </w:r>
      <w:r w:rsidRPr="00E7616B">
        <w:rPr>
          <w:rFonts w:cs="Arial"/>
          <w:lang w:eastAsia="en-US"/>
        </w:rPr>
        <w:t xml:space="preserve"> on prépare différentes solutions Si. Le volume de chaque solution fille obtenue est égal à </w:t>
      </w:r>
      <w:r w:rsidRPr="00E7616B">
        <w:rPr>
          <w:rFonts w:cs="Arial"/>
          <w:i/>
          <w:lang w:eastAsia="en-US"/>
        </w:rPr>
        <w:t>V</w:t>
      </w:r>
      <w:r w:rsidRPr="00E7616B">
        <w:rPr>
          <w:rFonts w:cs="Arial"/>
          <w:i/>
          <w:vertAlign w:val="subscript"/>
          <w:lang w:eastAsia="en-US"/>
        </w:rPr>
        <w:t>F</w:t>
      </w:r>
      <w:r w:rsidRPr="00E7616B">
        <w:rPr>
          <w:rFonts w:cs="Arial"/>
          <w:vertAlign w:val="subscript"/>
          <w:lang w:eastAsia="en-US"/>
        </w:rPr>
        <w:t xml:space="preserve"> </w:t>
      </w:r>
      <w:r w:rsidRPr="00E7616B">
        <w:rPr>
          <w:rFonts w:cs="Arial"/>
          <w:lang w:eastAsia="en-US"/>
        </w:rPr>
        <w:t>=</w:t>
      </w:r>
      <w:r w:rsidR="008E3239">
        <w:rPr>
          <w:rFonts w:cs="Arial"/>
          <w:lang w:eastAsia="en-US"/>
        </w:rPr>
        <w:t xml:space="preserve"> </w:t>
      </w:r>
      <w:r w:rsidRPr="00E7616B">
        <w:rPr>
          <w:rFonts w:cs="Arial"/>
          <w:lang w:eastAsia="en-US"/>
        </w:rPr>
        <w:t xml:space="preserve">10,0 </w:t>
      </w:r>
      <w:proofErr w:type="spellStart"/>
      <w:r w:rsidRPr="00E7616B">
        <w:rPr>
          <w:rFonts w:cs="Arial"/>
          <w:lang w:eastAsia="en-US"/>
        </w:rPr>
        <w:t>mL</w:t>
      </w:r>
      <w:proofErr w:type="spellEnd"/>
      <w:r w:rsidRPr="00E7616B">
        <w:rPr>
          <w:rFonts w:cs="Arial"/>
          <w:lang w:eastAsia="en-US"/>
        </w:rPr>
        <w:t>.</w:t>
      </w:r>
    </w:p>
    <w:p w14:paraId="5B5AE6CB" w14:textId="77777777" w:rsidR="00FD3FD0" w:rsidRPr="00E7616B" w:rsidRDefault="00FD3FD0" w:rsidP="00FD3FD0">
      <w:pPr>
        <w:spacing w:after="0" w:line="240" w:lineRule="auto"/>
        <w:ind w:left="0"/>
        <w:rPr>
          <w:rFonts w:cs="Arial"/>
          <w:lang w:eastAsia="en-US"/>
        </w:rPr>
      </w:pPr>
    </w:p>
    <w:p w14:paraId="4954D755" w14:textId="77777777" w:rsidR="00FD3FD0" w:rsidRPr="00E7616B" w:rsidRDefault="00FD3FD0" w:rsidP="00DE6A2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="Arial"/>
          <w:lang w:eastAsia="en-US"/>
        </w:rPr>
      </w:pPr>
      <w:r w:rsidRPr="00E7616B">
        <w:rPr>
          <w:rFonts w:cs="Arial"/>
          <w:lang w:eastAsia="en-US"/>
        </w:rPr>
        <w:t>Recopier et compléter le tableau ci-dessous en explicitant le calcul pour la solution S</w:t>
      </w:r>
      <w:r w:rsidRPr="00E7616B">
        <w:rPr>
          <w:rFonts w:cs="Arial"/>
          <w:vertAlign w:val="subscript"/>
          <w:lang w:eastAsia="en-US"/>
        </w:rPr>
        <w:t>2</w:t>
      </w:r>
      <w:r w:rsidRPr="00E7616B">
        <w:rPr>
          <w:rFonts w:cs="Arial"/>
          <w:lang w:eastAsia="en-US"/>
        </w:rPr>
        <w:t>.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34"/>
      </w:tblGrid>
      <w:tr w:rsidR="00FD3FD0" w:rsidRPr="00E7616B" w14:paraId="054098DF" w14:textId="77777777" w:rsidTr="00DC05E2">
        <w:trPr>
          <w:trHeight w:val="305"/>
          <w:jc w:val="center"/>
        </w:trPr>
        <w:tc>
          <w:tcPr>
            <w:tcW w:w="2943" w:type="dxa"/>
            <w:vAlign w:val="center"/>
          </w:tcPr>
          <w:p w14:paraId="56D5ACB2" w14:textId="77777777" w:rsidR="00FD3FD0" w:rsidRPr="00E7616B" w:rsidRDefault="00FD3FD0" w:rsidP="00DC05E2">
            <w:pPr>
              <w:spacing w:after="0" w:line="240" w:lineRule="auto"/>
              <w:ind w:left="0"/>
              <w:jc w:val="both"/>
              <w:rPr>
                <w:rFonts w:cs="Arial"/>
                <w:vertAlign w:val="subscript"/>
              </w:rPr>
            </w:pPr>
            <w:r w:rsidRPr="00E7616B">
              <w:rPr>
                <w:rFonts w:cs="Arial"/>
                <w:b/>
              </w:rPr>
              <w:t>Solution fille S</w:t>
            </w:r>
            <w:r w:rsidRPr="00E7616B">
              <w:rPr>
                <w:rFonts w:cs="Arial"/>
                <w:b/>
                <w:vertAlign w:val="subscript"/>
              </w:rPr>
              <w:t>i</w:t>
            </w:r>
          </w:p>
        </w:tc>
        <w:tc>
          <w:tcPr>
            <w:tcW w:w="1134" w:type="dxa"/>
            <w:vAlign w:val="center"/>
          </w:tcPr>
          <w:p w14:paraId="5E4F1A2E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E7616B">
              <w:rPr>
                <w:rFonts w:cs="Arial"/>
                <w:b/>
              </w:rPr>
              <w:t>S</w:t>
            </w:r>
            <w:r w:rsidRPr="00E7616B">
              <w:rPr>
                <w:rFonts w:cs="Arial"/>
                <w:b/>
                <w:vertAlign w:val="subscript"/>
              </w:rPr>
              <w:t>1</w:t>
            </w:r>
          </w:p>
        </w:tc>
        <w:tc>
          <w:tcPr>
            <w:tcW w:w="1134" w:type="dxa"/>
            <w:vAlign w:val="center"/>
          </w:tcPr>
          <w:p w14:paraId="1BAC37AC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  <w:b/>
                <w:vertAlign w:val="subscript"/>
              </w:rPr>
            </w:pPr>
            <w:r w:rsidRPr="00E7616B">
              <w:rPr>
                <w:rFonts w:cs="Arial"/>
                <w:b/>
              </w:rPr>
              <w:t>S</w:t>
            </w:r>
            <w:r w:rsidRPr="00E7616B">
              <w:rPr>
                <w:rFonts w:cs="Arial"/>
                <w:b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14:paraId="38E0769C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  <w:b/>
                <w:vertAlign w:val="subscript"/>
              </w:rPr>
            </w:pPr>
            <w:r w:rsidRPr="00E7616B">
              <w:rPr>
                <w:rFonts w:cs="Arial"/>
                <w:b/>
              </w:rPr>
              <w:t>S</w:t>
            </w:r>
            <w:r w:rsidRPr="00E7616B">
              <w:rPr>
                <w:rFonts w:cs="Arial"/>
                <w:b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16331032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  <w:b/>
                <w:vertAlign w:val="subscript"/>
              </w:rPr>
            </w:pPr>
            <w:r w:rsidRPr="00E7616B">
              <w:rPr>
                <w:rFonts w:cs="Arial"/>
                <w:b/>
              </w:rPr>
              <w:t>S</w:t>
            </w:r>
            <w:r w:rsidRPr="00E7616B">
              <w:rPr>
                <w:rFonts w:cs="Arial"/>
                <w:b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4001199E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  <w:b/>
                <w:vertAlign w:val="subscript"/>
              </w:rPr>
            </w:pPr>
            <w:r w:rsidRPr="00E7616B">
              <w:rPr>
                <w:rFonts w:cs="Arial"/>
                <w:b/>
              </w:rPr>
              <w:t>S</w:t>
            </w:r>
            <w:r w:rsidRPr="00E7616B">
              <w:rPr>
                <w:rFonts w:cs="Arial"/>
                <w:b/>
                <w:vertAlign w:val="subscript"/>
              </w:rPr>
              <w:t>5</w:t>
            </w:r>
          </w:p>
        </w:tc>
      </w:tr>
      <w:tr w:rsidR="00FD3FD0" w:rsidRPr="00E7616B" w14:paraId="6A326BDE" w14:textId="77777777" w:rsidTr="00DC05E2">
        <w:trPr>
          <w:jc w:val="center"/>
        </w:trPr>
        <w:tc>
          <w:tcPr>
            <w:tcW w:w="2943" w:type="dxa"/>
            <w:vAlign w:val="center"/>
          </w:tcPr>
          <w:p w14:paraId="1A3547A7" w14:textId="77777777" w:rsidR="00FD3FD0" w:rsidRPr="00E7616B" w:rsidRDefault="00FD3FD0" w:rsidP="00DC05E2">
            <w:pPr>
              <w:spacing w:after="0" w:line="240" w:lineRule="auto"/>
              <w:ind w:left="0"/>
              <w:rPr>
                <w:rFonts w:cs="Arial"/>
              </w:rPr>
            </w:pPr>
            <w:r w:rsidRPr="00E7616B">
              <w:rPr>
                <w:rFonts w:cs="Arial"/>
                <w:b/>
              </w:rPr>
              <w:t>Concentration en quantité de matière C</w:t>
            </w:r>
            <w:r w:rsidRPr="00E7616B">
              <w:rPr>
                <w:rFonts w:cs="Arial"/>
                <w:b/>
                <w:vertAlign w:val="subscript"/>
              </w:rPr>
              <w:t xml:space="preserve">i </w:t>
            </w:r>
            <w:r w:rsidRPr="00E7616B">
              <w:rPr>
                <w:rFonts w:cs="Arial"/>
                <w:b/>
              </w:rPr>
              <w:t>(</w:t>
            </w:r>
            <w:proofErr w:type="gramStart"/>
            <w:r w:rsidRPr="00E7616B">
              <w:rPr>
                <w:rFonts w:cs="Arial"/>
                <w:b/>
              </w:rPr>
              <w:t>mol.L</w:t>
            </w:r>
            <w:proofErr w:type="gramEnd"/>
            <w:r w:rsidRPr="00E7616B">
              <w:rPr>
                <w:rFonts w:cs="Arial"/>
                <w:b/>
                <w:vertAlign w:val="superscript"/>
              </w:rPr>
              <w:t>-1</w:t>
            </w:r>
            <w:r w:rsidRPr="00E7616B">
              <w:rPr>
                <w:rFonts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090AA4B1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7616B">
              <w:rPr>
                <w:rFonts w:cs="Arial"/>
              </w:rPr>
              <w:t>0,020</w:t>
            </w:r>
          </w:p>
        </w:tc>
        <w:tc>
          <w:tcPr>
            <w:tcW w:w="1134" w:type="dxa"/>
            <w:vAlign w:val="center"/>
          </w:tcPr>
          <w:p w14:paraId="785CD7AA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7616B">
              <w:rPr>
                <w:rFonts w:cs="Arial"/>
              </w:rPr>
              <w:t>0,016</w:t>
            </w:r>
          </w:p>
        </w:tc>
        <w:tc>
          <w:tcPr>
            <w:tcW w:w="1134" w:type="dxa"/>
            <w:vAlign w:val="center"/>
          </w:tcPr>
          <w:p w14:paraId="1CCA8BE5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7616B">
              <w:rPr>
                <w:rFonts w:cs="Arial"/>
              </w:rPr>
              <w:t>0,012</w:t>
            </w:r>
          </w:p>
        </w:tc>
        <w:tc>
          <w:tcPr>
            <w:tcW w:w="1134" w:type="dxa"/>
            <w:vAlign w:val="center"/>
          </w:tcPr>
          <w:p w14:paraId="2165A2B1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7616B">
              <w:rPr>
                <w:rFonts w:cs="Arial"/>
              </w:rPr>
              <w:t>0,008</w:t>
            </w:r>
          </w:p>
        </w:tc>
        <w:tc>
          <w:tcPr>
            <w:tcW w:w="1134" w:type="dxa"/>
            <w:vAlign w:val="center"/>
          </w:tcPr>
          <w:p w14:paraId="531F1340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  <w:r w:rsidRPr="00E7616B">
              <w:rPr>
                <w:rFonts w:cs="Arial"/>
              </w:rPr>
              <w:t>0,004</w:t>
            </w:r>
          </w:p>
        </w:tc>
      </w:tr>
      <w:tr w:rsidR="00FD3FD0" w:rsidRPr="00E7616B" w14:paraId="3BEAD3FE" w14:textId="77777777" w:rsidTr="00DC05E2">
        <w:trPr>
          <w:jc w:val="center"/>
        </w:trPr>
        <w:tc>
          <w:tcPr>
            <w:tcW w:w="2943" w:type="dxa"/>
            <w:vAlign w:val="center"/>
          </w:tcPr>
          <w:p w14:paraId="2B6119E3" w14:textId="77777777" w:rsidR="00FD3FD0" w:rsidRPr="00E7616B" w:rsidRDefault="00FD3FD0" w:rsidP="00DC05E2">
            <w:pPr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  <w:r w:rsidRPr="00E7616B">
              <w:rPr>
                <w:rFonts w:cs="Arial"/>
                <w:b/>
              </w:rPr>
              <w:t>Volume V</w:t>
            </w:r>
            <w:r w:rsidRPr="00E7616B">
              <w:rPr>
                <w:rFonts w:cs="Arial"/>
                <w:b/>
                <w:vertAlign w:val="subscript"/>
              </w:rPr>
              <w:t>0</w:t>
            </w:r>
            <w:r w:rsidRPr="00E7616B">
              <w:rPr>
                <w:rFonts w:cs="Arial"/>
                <w:b/>
              </w:rPr>
              <w:t xml:space="preserve"> de solution S</w:t>
            </w:r>
            <w:r w:rsidRPr="00E7616B">
              <w:rPr>
                <w:rFonts w:cs="Arial"/>
                <w:b/>
                <w:vertAlign w:val="subscript"/>
              </w:rPr>
              <w:t>0</w:t>
            </w:r>
            <w:r w:rsidRPr="00E7616B">
              <w:rPr>
                <w:rFonts w:cs="Arial"/>
                <w:b/>
              </w:rPr>
              <w:t xml:space="preserve"> à prélever (</w:t>
            </w:r>
            <w:proofErr w:type="spellStart"/>
            <w:r w:rsidRPr="00E7616B">
              <w:rPr>
                <w:rFonts w:cs="Arial"/>
                <w:b/>
              </w:rPr>
              <w:t>mL</w:t>
            </w:r>
            <w:proofErr w:type="spellEnd"/>
            <w:r w:rsidRPr="00E7616B">
              <w:rPr>
                <w:rFonts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472AE511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53A2A194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11D93E4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6BF659A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77A97B44" w14:textId="77777777" w:rsidR="00FD3FD0" w:rsidRPr="00E7616B" w:rsidRDefault="00FD3FD0" w:rsidP="00DC05E2">
            <w:pPr>
              <w:spacing w:after="0" w:line="240" w:lineRule="auto"/>
              <w:ind w:left="0"/>
              <w:jc w:val="center"/>
              <w:rPr>
                <w:rFonts w:cs="Arial"/>
              </w:rPr>
            </w:pPr>
          </w:p>
        </w:tc>
      </w:tr>
    </w:tbl>
    <w:p w14:paraId="3AD38D84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lang w:eastAsia="en-US"/>
        </w:rPr>
      </w:pPr>
    </w:p>
    <w:p w14:paraId="60E8DD6A" w14:textId="77777777" w:rsidR="00FD3FD0" w:rsidRPr="00E7616B" w:rsidRDefault="00FD3FD0" w:rsidP="00DE6A2A">
      <w:pPr>
        <w:spacing w:after="0" w:line="240" w:lineRule="auto"/>
        <w:ind w:left="0"/>
        <w:jc w:val="both"/>
        <w:rPr>
          <w:rFonts w:cs="Arial"/>
          <w:bCs/>
          <w:lang w:eastAsia="en-US"/>
        </w:rPr>
      </w:pPr>
      <w:r w:rsidRPr="00E7616B">
        <w:rPr>
          <w:rFonts w:cs="Arial"/>
          <w:lang w:eastAsia="en-US"/>
        </w:rPr>
        <w:t xml:space="preserve">On mesure l’absorbance </w:t>
      </w:r>
      <w:r w:rsidRPr="00E7616B">
        <w:rPr>
          <w:rFonts w:cs="Arial"/>
          <w:i/>
          <w:lang w:eastAsia="en-US"/>
        </w:rPr>
        <w:t>A</w:t>
      </w:r>
      <w:r w:rsidRPr="00E7616B">
        <w:rPr>
          <w:rFonts w:cs="Arial"/>
          <w:lang w:eastAsia="en-US"/>
        </w:rPr>
        <w:t xml:space="preserve"> des différentes solutions préparées et on trace</w:t>
      </w:r>
      <w:r w:rsidRPr="00E7616B">
        <w:rPr>
          <w:rFonts w:cs="Arial"/>
          <w:bCs/>
          <w:lang w:eastAsia="en-US"/>
        </w:rPr>
        <w:t xml:space="preserve"> le graphique suivant :</w:t>
      </w:r>
    </w:p>
    <w:p w14:paraId="60830AE4" w14:textId="77777777" w:rsidR="00FD3FD0" w:rsidRPr="00E7616B" w:rsidRDefault="00FD3FD0" w:rsidP="00FD3FD0">
      <w:pPr>
        <w:ind w:left="0"/>
        <w:jc w:val="center"/>
        <w:rPr>
          <w:rFonts w:cs="Arial"/>
          <w:bCs/>
          <w:lang w:eastAsia="en-US"/>
        </w:rPr>
      </w:pPr>
      <w:r w:rsidRPr="00E7616B">
        <w:rPr>
          <w:rFonts w:cs="Arial"/>
          <w:bCs/>
          <w:noProof/>
          <w:sz w:val="22"/>
          <w:szCs w:val="22"/>
        </w:rPr>
        <w:drawing>
          <wp:inline distT="0" distB="0" distL="0" distR="0" wp14:anchorId="00716099" wp14:editId="18936C4E">
            <wp:extent cx="4181475" cy="227950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graph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175" cy="228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5AF70" w14:textId="77777777" w:rsidR="00FD3FD0" w:rsidRPr="00E7616B" w:rsidRDefault="00FD3FD0" w:rsidP="00DE6A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cs="Arial"/>
          <w:bCs/>
          <w:lang w:eastAsia="en-US"/>
        </w:rPr>
      </w:pPr>
      <w:r w:rsidRPr="00E7616B">
        <w:rPr>
          <w:rFonts w:cs="Arial"/>
          <w:lang w:eastAsia="en-US"/>
        </w:rPr>
        <w:t xml:space="preserve">Après avoir rappelé l’expression de la loi de Beer-Lambert en indiquant le nom des grandeurs et les unités associées, </w:t>
      </w:r>
      <w:r w:rsidRPr="00E7616B">
        <w:rPr>
          <w:rFonts w:cs="Arial"/>
          <w:bCs/>
          <w:lang w:eastAsia="en-US"/>
        </w:rPr>
        <w:t>d</w:t>
      </w:r>
      <w:r w:rsidRPr="00E7616B">
        <w:rPr>
          <w:rFonts w:cs="Arial"/>
          <w:lang w:eastAsia="en-US"/>
        </w:rPr>
        <w:t>éterminer si les résultats expérimentaux obtenus sont en accord avec cette loi.</w:t>
      </w:r>
    </w:p>
    <w:p w14:paraId="726810A9" w14:textId="77777777" w:rsidR="00FD3FD0" w:rsidRPr="00E7616B" w:rsidRDefault="00FD3FD0" w:rsidP="00FD3FD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color w:val="000000"/>
          <w:lang w:eastAsia="en-US"/>
        </w:rPr>
      </w:pPr>
    </w:p>
    <w:p w14:paraId="1D540D58" w14:textId="61275CA8" w:rsidR="00FD3FD0" w:rsidRPr="00E7616B" w:rsidRDefault="00FD3FD0" w:rsidP="003F1DC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Cs/>
          <w:color w:val="000000"/>
          <w:lang w:eastAsia="en-US"/>
        </w:rPr>
      </w:pPr>
      <w:r w:rsidRPr="00E7616B">
        <w:rPr>
          <w:rFonts w:cs="Arial"/>
          <w:bCs/>
          <w:color w:val="000000"/>
          <w:lang w:eastAsia="en-US"/>
        </w:rPr>
        <w:t>Afin de déterminer la concentration de la bouillie bordelaise préparée par le jardinier, on dilue 20</w:t>
      </w:r>
      <w:r w:rsidR="00554654">
        <w:rPr>
          <w:rFonts w:cs="Arial"/>
          <w:bCs/>
          <w:color w:val="000000"/>
          <w:lang w:eastAsia="en-US"/>
        </w:rPr>
        <w:t> </w:t>
      </w:r>
      <w:r w:rsidRPr="00E7616B">
        <w:rPr>
          <w:rFonts w:cs="Arial"/>
          <w:bCs/>
          <w:color w:val="000000"/>
          <w:lang w:eastAsia="en-US"/>
        </w:rPr>
        <w:t xml:space="preserve">fois la solution S avant de l’analyser avec le spectrophotomètre. On mesure une absorbance </w:t>
      </w:r>
      <w:r w:rsidRPr="00E7616B">
        <w:rPr>
          <w:rFonts w:cs="Arial"/>
          <w:bCs/>
          <w:i/>
          <w:color w:val="000000"/>
          <w:lang w:eastAsia="en-US"/>
        </w:rPr>
        <w:t>A’</w:t>
      </w:r>
      <w:r w:rsidRPr="00E7616B">
        <w:rPr>
          <w:rFonts w:cs="Arial"/>
          <w:bCs/>
          <w:color w:val="000000"/>
          <w:lang w:eastAsia="en-US"/>
        </w:rPr>
        <w:t xml:space="preserve"> = 0,120 pour la solution diluée S’.</w:t>
      </w:r>
    </w:p>
    <w:p w14:paraId="3C90BCAA" w14:textId="77777777" w:rsidR="00FD3FD0" w:rsidRPr="00E7616B" w:rsidRDefault="00FD3FD0" w:rsidP="00DE6A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="Arial"/>
          <w:bCs/>
          <w:color w:val="000000"/>
          <w:lang w:eastAsia="en-US"/>
        </w:rPr>
      </w:pPr>
      <w:r w:rsidRPr="00E7616B">
        <w:rPr>
          <w:rFonts w:cs="Arial"/>
          <w:bCs/>
          <w:color w:val="000000"/>
          <w:lang w:eastAsia="en-US"/>
        </w:rPr>
        <w:t xml:space="preserve">Détailler le protocole expérimental de préparation des 100 </w:t>
      </w:r>
      <w:proofErr w:type="spellStart"/>
      <w:r w:rsidRPr="00E7616B">
        <w:rPr>
          <w:rFonts w:cs="Arial"/>
          <w:bCs/>
          <w:color w:val="000000"/>
          <w:lang w:eastAsia="en-US"/>
        </w:rPr>
        <w:t>mL</w:t>
      </w:r>
      <w:proofErr w:type="spellEnd"/>
      <w:r w:rsidRPr="00E7616B">
        <w:rPr>
          <w:rFonts w:cs="Arial"/>
          <w:bCs/>
          <w:color w:val="000000"/>
          <w:lang w:eastAsia="en-US"/>
        </w:rPr>
        <w:t xml:space="preserve"> de la solution S’. </w:t>
      </w:r>
      <w:r w:rsidRPr="00E7616B">
        <w:rPr>
          <w:rFonts w:cs="Arial"/>
          <w:color w:val="000000"/>
          <w:lang w:eastAsia="en-US"/>
        </w:rPr>
        <w:t>La verrerie mise à disposition est :</w:t>
      </w:r>
    </w:p>
    <w:tbl>
      <w:tblPr>
        <w:tblStyle w:val="Grilledutableau1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95"/>
      </w:tblGrid>
      <w:tr w:rsidR="00FD3FD0" w:rsidRPr="00E7616B" w14:paraId="26A95530" w14:textId="77777777" w:rsidTr="00DC05E2">
        <w:tc>
          <w:tcPr>
            <w:tcW w:w="4536" w:type="dxa"/>
          </w:tcPr>
          <w:p w14:paraId="17A29B7B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141" w:hanging="141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fiole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 jaugée : 100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 et 200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</w:p>
          <w:p w14:paraId="5433695E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141" w:hanging="141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pipettes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 jaugées : 5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, 50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 et 100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</w:p>
          <w:p w14:paraId="535E1104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141" w:hanging="141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béchers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 : 50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 et 100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</w:p>
          <w:p w14:paraId="5ABFA66F" w14:textId="77777777" w:rsidR="00FD3FD0" w:rsidRPr="00E7616B" w:rsidRDefault="00FD3FD0" w:rsidP="00DC05E2">
            <w:p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95" w:type="dxa"/>
          </w:tcPr>
          <w:p w14:paraId="0560E451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70" w:hanging="137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éprouvettes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 graduées : 10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, 50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  <w:r w:rsidRPr="00E7616B">
              <w:rPr>
                <w:rFonts w:ascii="Arial" w:hAnsi="Arial" w:cs="Arial"/>
                <w:color w:val="000000"/>
              </w:rPr>
              <w:t xml:space="preserve"> et 100 </w:t>
            </w:r>
            <w:proofErr w:type="spellStart"/>
            <w:r w:rsidRPr="00E7616B">
              <w:rPr>
                <w:rFonts w:ascii="Arial" w:hAnsi="Arial" w:cs="Arial"/>
                <w:color w:val="000000"/>
              </w:rPr>
              <w:t>mL</w:t>
            </w:r>
            <w:proofErr w:type="spellEnd"/>
          </w:p>
          <w:p w14:paraId="7123B1CB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70" w:hanging="137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pissette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 d’eau distillée</w:t>
            </w:r>
          </w:p>
          <w:p w14:paraId="0168A5B2" w14:textId="77777777" w:rsidR="00FD3FD0" w:rsidRPr="00E7616B" w:rsidRDefault="00FD3FD0" w:rsidP="00FD3FD0">
            <w:pPr>
              <w:numPr>
                <w:ilvl w:val="0"/>
                <w:numId w:val="7"/>
              </w:numPr>
              <w:spacing w:after="200" w:line="276" w:lineRule="auto"/>
              <w:ind w:left="70" w:hanging="137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E7616B">
              <w:rPr>
                <w:rFonts w:ascii="Arial" w:hAnsi="Arial" w:cs="Arial"/>
                <w:color w:val="000000"/>
              </w:rPr>
              <w:t>pipette</w:t>
            </w:r>
            <w:proofErr w:type="gramEnd"/>
            <w:r w:rsidRPr="00E7616B">
              <w:rPr>
                <w:rFonts w:ascii="Arial" w:hAnsi="Arial" w:cs="Arial"/>
                <w:color w:val="000000"/>
              </w:rPr>
              <w:t xml:space="preserve"> en plastique souple</w:t>
            </w:r>
          </w:p>
        </w:tc>
      </w:tr>
    </w:tbl>
    <w:p w14:paraId="326337BD" w14:textId="670009A0" w:rsidR="00FD3FD0" w:rsidRPr="00DE6A2A" w:rsidRDefault="00FD3FD0" w:rsidP="00E2720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="Arial"/>
          <w:bCs/>
          <w:color w:val="000000"/>
          <w:lang w:eastAsia="en-US"/>
        </w:rPr>
      </w:pPr>
      <w:r w:rsidRPr="00DE6A2A">
        <w:rPr>
          <w:rFonts w:cs="Arial"/>
          <w:bCs/>
          <w:color w:val="000000"/>
          <w:lang w:eastAsia="en-US"/>
        </w:rPr>
        <w:t>Déterminer si le jardinier peut rejeter son excédent de solution S à l’évier ou s’il doit le faire recycler.</w:t>
      </w:r>
    </w:p>
    <w:p w14:paraId="65F75518" w14:textId="77777777" w:rsidR="00DE6A2A" w:rsidRDefault="00DE6A2A">
      <w:pPr>
        <w:spacing w:after="0" w:line="240" w:lineRule="auto"/>
        <w:ind w:left="0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br w:type="page"/>
      </w:r>
    </w:p>
    <w:p w14:paraId="235E1871" w14:textId="5C88574E" w:rsidR="00FD3FD0" w:rsidRPr="00E7616B" w:rsidRDefault="00FD3FD0" w:rsidP="00DE6A2A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E7616B">
        <w:rPr>
          <w:rFonts w:cs="Arial"/>
          <w:color w:val="000000"/>
          <w:lang w:eastAsia="en-US"/>
        </w:rPr>
        <w:lastRenderedPageBreak/>
        <w:t>La toxicité de la bouillie bordelaise est liée à la présence des ions cuivre Cu</w:t>
      </w:r>
      <w:r w:rsidRPr="00E7616B">
        <w:rPr>
          <w:rFonts w:cs="Arial"/>
          <w:color w:val="000000"/>
          <w:vertAlign w:val="superscript"/>
          <w:lang w:eastAsia="en-US"/>
        </w:rPr>
        <w:t>2+</w:t>
      </w:r>
      <w:r w:rsidRPr="00E7616B">
        <w:rPr>
          <w:rFonts w:cs="Arial"/>
          <w:color w:val="000000"/>
          <w:lang w:eastAsia="en-US"/>
        </w:rPr>
        <w:t xml:space="preserve">. Un traitement pour éliminer ces ions consiste à ajouter des pastilles d’hydroxyde de sodium </w:t>
      </w:r>
      <w:proofErr w:type="spellStart"/>
      <w:r w:rsidRPr="00E7616B">
        <w:rPr>
          <w:rFonts w:cs="Arial"/>
          <w:color w:val="000000"/>
          <w:lang w:eastAsia="en-US"/>
        </w:rPr>
        <w:t>NaOH</w:t>
      </w:r>
      <w:proofErr w:type="spellEnd"/>
      <w:r w:rsidRPr="00E7616B">
        <w:rPr>
          <w:rFonts w:cs="Arial"/>
          <w:color w:val="000000"/>
          <w:lang w:eastAsia="en-US"/>
        </w:rPr>
        <w:t>(s</w:t>
      </w:r>
      <w:r w:rsidR="00DE6A2A">
        <w:rPr>
          <w:rFonts w:cs="Arial"/>
          <w:color w:val="000000"/>
          <w:lang w:eastAsia="en-US"/>
        </w:rPr>
        <w:t>)</w:t>
      </w:r>
      <w:r w:rsidRPr="00E7616B">
        <w:rPr>
          <w:rFonts w:cs="Arial"/>
          <w:color w:val="000000"/>
          <w:lang w:eastAsia="en-US"/>
        </w:rPr>
        <w:t>. La transformation est modélisée par la réaction des ions cuivre Cu</w:t>
      </w:r>
      <w:r w:rsidRPr="00E7616B">
        <w:rPr>
          <w:rFonts w:cs="Arial"/>
          <w:color w:val="000000"/>
          <w:vertAlign w:val="superscript"/>
          <w:lang w:eastAsia="en-US"/>
        </w:rPr>
        <w:t xml:space="preserve">2+ </w:t>
      </w:r>
      <w:r w:rsidRPr="00E7616B">
        <w:rPr>
          <w:rFonts w:cs="Arial"/>
          <w:color w:val="000000"/>
          <w:lang w:eastAsia="en-US"/>
        </w:rPr>
        <w:t>présents dans la bouillie bordelaise et des ions hydroxyde OH</w:t>
      </w:r>
      <w:r w:rsidRPr="00E7616B">
        <w:rPr>
          <w:rFonts w:cs="Arial"/>
          <w:color w:val="000000"/>
          <w:vertAlign w:val="superscript"/>
          <w:lang w:eastAsia="en-US"/>
        </w:rPr>
        <w:t>–</w:t>
      </w:r>
      <w:r w:rsidRPr="00E7616B">
        <w:rPr>
          <w:rFonts w:cs="Arial"/>
          <w:color w:val="000000"/>
          <w:lang w:eastAsia="en-US"/>
        </w:rPr>
        <w:t xml:space="preserve"> apportés par les pastilles d’hydroxyde de sodium) pour former un précipité d’hydroxyde de cuivre </w:t>
      </w:r>
      <w:proofErr w:type="gramStart"/>
      <w:r w:rsidRPr="00E7616B">
        <w:rPr>
          <w:rFonts w:cs="Arial"/>
          <w:color w:val="000000"/>
          <w:lang w:eastAsia="en-US"/>
        </w:rPr>
        <w:t>Cu(</w:t>
      </w:r>
      <w:proofErr w:type="gramEnd"/>
      <w:r w:rsidRPr="00E7616B">
        <w:rPr>
          <w:rFonts w:cs="Arial"/>
          <w:color w:val="000000"/>
          <w:lang w:eastAsia="en-US"/>
        </w:rPr>
        <w:t>OH)</w:t>
      </w:r>
      <w:r w:rsidRPr="00E7616B">
        <w:rPr>
          <w:rFonts w:cs="Arial"/>
          <w:color w:val="000000"/>
          <w:vertAlign w:val="subscript"/>
          <w:lang w:eastAsia="en-US"/>
        </w:rPr>
        <w:t>2</w:t>
      </w:r>
      <w:r w:rsidRPr="00E7616B">
        <w:rPr>
          <w:rFonts w:cs="Arial"/>
          <w:color w:val="000000"/>
          <w:lang w:eastAsia="en-US"/>
        </w:rPr>
        <w:t>(s) qui est récupéré par filtration puis traité.</w:t>
      </w:r>
    </w:p>
    <w:p w14:paraId="6BDC652A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E7616B">
        <w:rPr>
          <w:rFonts w:cs="Arial"/>
          <w:color w:val="000000"/>
          <w:lang w:eastAsia="en-US"/>
        </w:rPr>
        <w:t>L’équation de la réaction chimique est la suivante :</w:t>
      </w:r>
    </w:p>
    <w:p w14:paraId="0121EC5B" w14:textId="77777777" w:rsidR="00FD3FD0" w:rsidRPr="00E7616B" w:rsidRDefault="00FD3FD0" w:rsidP="00FD3FD0">
      <w:pPr>
        <w:spacing w:after="0" w:line="240" w:lineRule="auto"/>
        <w:ind w:left="0"/>
        <w:jc w:val="center"/>
        <w:rPr>
          <w:rFonts w:cs="Arial"/>
          <w:color w:val="000000"/>
          <w:vertAlign w:val="subscript"/>
          <w:lang w:val="en-US" w:eastAsia="en-US"/>
        </w:rPr>
      </w:pPr>
      <w:r w:rsidRPr="00E7616B">
        <w:rPr>
          <w:rFonts w:cs="Arial"/>
          <w:color w:val="000000"/>
          <w:lang w:val="en-US" w:eastAsia="en-US"/>
        </w:rPr>
        <w:t>Cu</w:t>
      </w:r>
      <w:r w:rsidRPr="00E7616B">
        <w:rPr>
          <w:rFonts w:cs="Arial"/>
          <w:color w:val="000000"/>
          <w:vertAlign w:val="superscript"/>
          <w:lang w:val="en-US" w:eastAsia="en-US"/>
        </w:rPr>
        <w:t>2+</w:t>
      </w:r>
      <w:r w:rsidRPr="00E7616B">
        <w:rPr>
          <w:rFonts w:cs="Arial"/>
          <w:color w:val="000000"/>
          <w:lang w:val="en-US" w:eastAsia="en-US"/>
        </w:rPr>
        <w:t>(</w:t>
      </w:r>
      <w:proofErr w:type="gramStart"/>
      <w:r w:rsidRPr="00E7616B">
        <w:rPr>
          <w:rFonts w:cs="Arial"/>
          <w:color w:val="000000"/>
          <w:lang w:val="en-US" w:eastAsia="en-US"/>
        </w:rPr>
        <w:t>aq)</w:t>
      </w:r>
      <w:r w:rsidRPr="00E7616B">
        <w:rPr>
          <w:rFonts w:cs="Arial"/>
          <w:color w:val="000000"/>
          <w:vertAlign w:val="subscript"/>
          <w:lang w:val="en-US" w:eastAsia="en-US"/>
        </w:rPr>
        <w:t xml:space="preserve"> </w:t>
      </w:r>
      <w:r w:rsidRPr="00E7616B">
        <w:rPr>
          <w:rFonts w:cs="Arial"/>
          <w:color w:val="000000"/>
          <w:lang w:val="en-US" w:eastAsia="en-US"/>
        </w:rPr>
        <w:t xml:space="preserve"> +</w:t>
      </w:r>
      <w:proofErr w:type="gramEnd"/>
      <w:r w:rsidRPr="00E7616B">
        <w:rPr>
          <w:rFonts w:cs="Arial"/>
          <w:color w:val="000000"/>
          <w:lang w:val="en-US" w:eastAsia="en-US"/>
        </w:rPr>
        <w:t xml:space="preserve">  2 OH </w:t>
      </w:r>
      <w:r w:rsidRPr="00E7616B">
        <w:rPr>
          <w:rFonts w:cs="Arial"/>
          <w:color w:val="000000"/>
          <w:vertAlign w:val="superscript"/>
          <w:lang w:val="en-US" w:eastAsia="en-US"/>
        </w:rPr>
        <w:t xml:space="preserve">- </w:t>
      </w:r>
      <w:r w:rsidRPr="00E7616B">
        <w:rPr>
          <w:rFonts w:cs="Arial"/>
          <w:color w:val="000000"/>
          <w:lang w:val="en-US" w:eastAsia="en-US"/>
        </w:rPr>
        <w:t>(aq)</w:t>
      </w:r>
      <w:r w:rsidRPr="00E7616B">
        <w:rPr>
          <w:rFonts w:cs="Arial"/>
          <w:color w:val="000000"/>
          <w:vertAlign w:val="subscript"/>
          <w:lang w:val="en-US" w:eastAsia="en-US"/>
        </w:rPr>
        <w:tab/>
      </w:r>
      <w:r w:rsidRPr="00E7616B">
        <w:rPr>
          <w:rFonts w:cs="Arial"/>
          <w:color w:val="000000"/>
          <w:lang w:val="en-US" w:eastAsia="en-US"/>
        </w:rPr>
        <w:t>→</w:t>
      </w:r>
      <w:r w:rsidRPr="00E7616B">
        <w:rPr>
          <w:rFonts w:cs="Arial"/>
          <w:color w:val="000000"/>
          <w:lang w:val="en-US" w:eastAsia="en-US"/>
        </w:rPr>
        <w:tab/>
        <w:t>Cu(OH)</w:t>
      </w:r>
      <w:r w:rsidRPr="00E7616B">
        <w:rPr>
          <w:rFonts w:cs="Arial"/>
          <w:color w:val="000000"/>
          <w:vertAlign w:val="subscript"/>
          <w:lang w:val="en-US" w:eastAsia="en-US"/>
        </w:rPr>
        <w:t>2</w:t>
      </w:r>
      <w:r w:rsidRPr="00E7616B">
        <w:rPr>
          <w:rFonts w:cs="Arial"/>
          <w:color w:val="000000"/>
          <w:lang w:val="en-US" w:eastAsia="en-US"/>
        </w:rPr>
        <w:t>(s)</w:t>
      </w:r>
    </w:p>
    <w:p w14:paraId="0D750859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color w:val="000000"/>
          <w:lang w:val="en-US" w:eastAsia="en-US"/>
        </w:rPr>
      </w:pPr>
    </w:p>
    <w:p w14:paraId="5DCDF508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  <w:r w:rsidRPr="00E7616B">
        <w:rPr>
          <w:rFonts w:cs="Arial"/>
          <w:color w:val="000000"/>
          <w:lang w:eastAsia="en-US"/>
        </w:rPr>
        <w:t xml:space="preserve">On souhaite traiter 500 </w:t>
      </w:r>
      <w:proofErr w:type="spellStart"/>
      <w:r w:rsidRPr="00E7616B">
        <w:rPr>
          <w:rFonts w:cs="Arial"/>
          <w:color w:val="000000"/>
          <w:lang w:eastAsia="en-US"/>
        </w:rPr>
        <w:t>mL</w:t>
      </w:r>
      <w:proofErr w:type="spellEnd"/>
      <w:r w:rsidRPr="00E7616B">
        <w:rPr>
          <w:rFonts w:cs="Arial"/>
          <w:color w:val="000000"/>
          <w:lang w:eastAsia="en-US"/>
        </w:rPr>
        <w:t xml:space="preserve"> d’une solution dont la concentration en quantité de matière d’ions Cu</w:t>
      </w:r>
      <w:r w:rsidRPr="00E7616B">
        <w:rPr>
          <w:rFonts w:cs="Arial"/>
          <w:color w:val="000000"/>
          <w:vertAlign w:val="superscript"/>
          <w:lang w:eastAsia="en-US"/>
        </w:rPr>
        <w:t>2+</w:t>
      </w:r>
      <w:r w:rsidRPr="00E7616B">
        <w:rPr>
          <w:rFonts w:cs="Arial"/>
          <w:color w:val="000000"/>
          <w:lang w:eastAsia="en-US"/>
        </w:rPr>
        <w:t xml:space="preserve"> est égale à C</w:t>
      </w:r>
      <w:r w:rsidRPr="00E7616B">
        <w:rPr>
          <w:rFonts w:cs="Arial"/>
          <w:color w:val="000000"/>
          <w:vertAlign w:val="subscript"/>
          <w:lang w:eastAsia="en-US"/>
        </w:rPr>
        <w:t>T</w:t>
      </w:r>
      <w:r w:rsidRPr="00E7616B">
        <w:rPr>
          <w:rFonts w:cs="Arial"/>
          <w:color w:val="000000"/>
          <w:lang w:eastAsia="en-US"/>
        </w:rPr>
        <w:t xml:space="preserve"> = 0,22 </w:t>
      </w:r>
      <w:proofErr w:type="gramStart"/>
      <w:r w:rsidRPr="00E7616B">
        <w:rPr>
          <w:rFonts w:cs="Arial"/>
          <w:color w:val="000000"/>
          <w:lang w:eastAsia="en-US"/>
        </w:rPr>
        <w:t>mol.L</w:t>
      </w:r>
      <w:proofErr w:type="gramEnd"/>
      <w:r w:rsidRPr="00E7616B">
        <w:rPr>
          <w:rFonts w:cs="Arial"/>
          <w:color w:val="000000"/>
          <w:vertAlign w:val="superscript"/>
          <w:lang w:eastAsia="en-US"/>
        </w:rPr>
        <w:t>-1</w:t>
      </w:r>
      <w:r w:rsidRPr="00E7616B">
        <w:rPr>
          <w:rFonts w:cs="Arial"/>
          <w:color w:val="000000"/>
          <w:lang w:eastAsia="en-US"/>
        </w:rPr>
        <w:t>.</w:t>
      </w:r>
    </w:p>
    <w:p w14:paraId="413E09D0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color w:val="000000"/>
          <w:lang w:eastAsia="en-US"/>
        </w:rPr>
      </w:pPr>
    </w:p>
    <w:p w14:paraId="040B40E4" w14:textId="77777777" w:rsidR="00FD3FD0" w:rsidRPr="00E7616B" w:rsidRDefault="00FD3FD0" w:rsidP="00FD3FD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cs="Arial"/>
          <w:color w:val="000000"/>
          <w:lang w:eastAsia="en-US"/>
        </w:rPr>
      </w:pPr>
      <w:r w:rsidRPr="00E7616B">
        <w:rPr>
          <w:rFonts w:cs="Arial"/>
          <w:color w:val="000000"/>
          <w:lang w:eastAsia="en-US"/>
        </w:rPr>
        <w:t xml:space="preserve">Déterminer la masse </w:t>
      </w:r>
      <w:r w:rsidRPr="00E7616B">
        <w:rPr>
          <w:rFonts w:cs="Arial"/>
          <w:i/>
          <w:color w:val="000000"/>
          <w:lang w:eastAsia="en-US"/>
        </w:rPr>
        <w:t>m</w:t>
      </w:r>
      <w:r w:rsidRPr="00E7616B">
        <w:rPr>
          <w:rFonts w:cs="Arial"/>
          <w:color w:val="000000"/>
          <w:lang w:eastAsia="en-US"/>
        </w:rPr>
        <w:t xml:space="preserve"> d’hydroxyde de sodium </w:t>
      </w:r>
      <w:proofErr w:type="spellStart"/>
      <w:r w:rsidRPr="00E7616B">
        <w:rPr>
          <w:rFonts w:cs="Arial"/>
          <w:color w:val="000000"/>
          <w:lang w:eastAsia="en-US"/>
        </w:rPr>
        <w:t>NaOH</w:t>
      </w:r>
      <w:proofErr w:type="spellEnd"/>
      <w:r w:rsidRPr="00E7616B">
        <w:rPr>
          <w:rFonts w:cs="Arial"/>
          <w:color w:val="000000"/>
          <w:lang w:eastAsia="en-US"/>
        </w:rPr>
        <w:t>(s) à ajouter à cette solution pour éliminer totalement les ions cuivre sans pour autant que les ions hydroxyde ne soient en excès.</w:t>
      </w:r>
    </w:p>
    <w:p w14:paraId="298A7AA2" w14:textId="77777777" w:rsidR="00FD3FD0" w:rsidRPr="00E7616B" w:rsidRDefault="00FD3FD0" w:rsidP="00FD3FD0">
      <w:pPr>
        <w:spacing w:after="0" w:line="240" w:lineRule="auto"/>
        <w:ind w:left="0"/>
        <w:jc w:val="both"/>
        <w:rPr>
          <w:rFonts w:cs="Arial"/>
          <w:i/>
          <w:color w:val="000000"/>
          <w:lang w:eastAsia="en-US"/>
        </w:rPr>
      </w:pPr>
      <w:r w:rsidRPr="00E7616B">
        <w:rPr>
          <w:rFonts w:cs="Arial"/>
          <w:i/>
          <w:color w:val="000000"/>
          <w:lang w:eastAsia="en-US"/>
        </w:rPr>
        <w:t xml:space="preserve">Le candidat est invité à prendre des initiatives et à présenter la démarche suivie même si elle n’a pas abouti. </w:t>
      </w:r>
      <w:bookmarkEnd w:id="0"/>
    </w:p>
    <w:p w14:paraId="73878AE9" w14:textId="77777777" w:rsidR="00FD3FD0" w:rsidRDefault="00FD3FD0" w:rsidP="003F2181">
      <w:pPr>
        <w:spacing w:after="0" w:line="240" w:lineRule="auto"/>
        <w:ind w:left="0"/>
        <w:jc w:val="center"/>
        <w:rPr>
          <w:rFonts w:cs="Arial"/>
          <w:b/>
          <w:lang w:eastAsia="en-US"/>
        </w:rPr>
      </w:pPr>
    </w:p>
    <w:sectPr w:rsidR="00FD3FD0" w:rsidSect="00CE4DF8">
      <w:headerReference w:type="even" r:id="rId12"/>
      <w:footerReference w:type="even" r:id="rId13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E0067" w14:textId="77777777" w:rsidR="008310AB" w:rsidRDefault="008310AB" w:rsidP="0053612B">
      <w:pPr>
        <w:spacing w:after="0" w:line="240" w:lineRule="auto"/>
      </w:pPr>
      <w:r>
        <w:separator/>
      </w:r>
    </w:p>
  </w:endnote>
  <w:endnote w:type="continuationSeparator" w:id="0">
    <w:p w14:paraId="649D04EC" w14:textId="77777777" w:rsidR="008310AB" w:rsidRDefault="008310AB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A44EDF" w:rsidRPr="00A44EDF">
      <w:rPr>
        <w:noProof/>
        <w:color w:val="000000" w:themeColor="text1"/>
        <w:sz w:val="20"/>
      </w:rPr>
      <w:t>6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A44EDF" w:rsidRPr="00A44EDF">
      <w:rPr>
        <w:noProof/>
        <w:color w:val="000000" w:themeColor="text1"/>
        <w:sz w:val="20"/>
      </w:rPr>
      <w:t>7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5C42" w14:textId="77777777" w:rsidR="008310AB" w:rsidRDefault="008310AB" w:rsidP="0053612B">
      <w:pPr>
        <w:spacing w:after="0" w:line="240" w:lineRule="auto"/>
      </w:pPr>
      <w:r>
        <w:separator/>
      </w:r>
    </w:p>
  </w:footnote>
  <w:footnote w:type="continuationSeparator" w:id="0">
    <w:p w14:paraId="0A2A9589" w14:textId="77777777" w:rsidR="008310AB" w:rsidRDefault="008310AB" w:rsidP="0053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BDA62" w14:textId="77777777" w:rsidR="0053612B" w:rsidRDefault="002B20A9" w:rsidP="0077193A">
    <w:pPr>
      <w:pStyle w:val="EnTetePiedsDePage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8985DD1" wp14:editId="7853DE4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1546860"/>
          <wp:effectExtent l="0" t="0" r="0" b="0"/>
          <wp:wrapNone/>
          <wp:docPr id="76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5D452" w14:textId="77777777" w:rsidR="00D760A4" w:rsidRDefault="00D760A4" w:rsidP="00B01E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7D33"/>
    <w:multiLevelType w:val="hybridMultilevel"/>
    <w:tmpl w:val="1C009124"/>
    <w:lvl w:ilvl="0" w:tplc="BC4C2B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49ED"/>
    <w:multiLevelType w:val="hybridMultilevel"/>
    <w:tmpl w:val="7E6EBB42"/>
    <w:lvl w:ilvl="0" w:tplc="9D8224BA">
      <w:start w:val="24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5F0"/>
    <w:multiLevelType w:val="hybridMultilevel"/>
    <w:tmpl w:val="23C82F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0904"/>
    <w:multiLevelType w:val="multilevel"/>
    <w:tmpl w:val="24C88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722521F"/>
    <w:multiLevelType w:val="hybridMultilevel"/>
    <w:tmpl w:val="6A50159E"/>
    <w:lvl w:ilvl="0" w:tplc="0F7EC9F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1B56"/>
    <w:multiLevelType w:val="hybridMultilevel"/>
    <w:tmpl w:val="90E88586"/>
    <w:lvl w:ilvl="0" w:tplc="7FD0ED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212"/>
    <w:multiLevelType w:val="multilevel"/>
    <w:tmpl w:val="C4E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C563FD7"/>
    <w:multiLevelType w:val="multilevel"/>
    <w:tmpl w:val="C83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22399"/>
    <w:rsid w:val="00133B59"/>
    <w:rsid w:val="001424D6"/>
    <w:rsid w:val="001532D0"/>
    <w:rsid w:val="001718FD"/>
    <w:rsid w:val="0017563A"/>
    <w:rsid w:val="001771F9"/>
    <w:rsid w:val="001B06CA"/>
    <w:rsid w:val="00222061"/>
    <w:rsid w:val="002708E9"/>
    <w:rsid w:val="002A68A6"/>
    <w:rsid w:val="002B20A9"/>
    <w:rsid w:val="002E4943"/>
    <w:rsid w:val="003408B3"/>
    <w:rsid w:val="003D1776"/>
    <w:rsid w:val="003F1DCF"/>
    <w:rsid w:val="003F2181"/>
    <w:rsid w:val="004B41C6"/>
    <w:rsid w:val="004F13CF"/>
    <w:rsid w:val="005122FA"/>
    <w:rsid w:val="0053612B"/>
    <w:rsid w:val="00554654"/>
    <w:rsid w:val="00571B73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845EA"/>
    <w:rsid w:val="007A7764"/>
    <w:rsid w:val="007C35A8"/>
    <w:rsid w:val="00826640"/>
    <w:rsid w:val="008310AB"/>
    <w:rsid w:val="00837873"/>
    <w:rsid w:val="0084040C"/>
    <w:rsid w:val="00857478"/>
    <w:rsid w:val="00860F2B"/>
    <w:rsid w:val="00875770"/>
    <w:rsid w:val="0089178E"/>
    <w:rsid w:val="00893F38"/>
    <w:rsid w:val="00896904"/>
    <w:rsid w:val="008A6ADC"/>
    <w:rsid w:val="008E2217"/>
    <w:rsid w:val="008E3239"/>
    <w:rsid w:val="008E5053"/>
    <w:rsid w:val="008F477F"/>
    <w:rsid w:val="008F72C8"/>
    <w:rsid w:val="00977ADB"/>
    <w:rsid w:val="009D1A0F"/>
    <w:rsid w:val="009D354B"/>
    <w:rsid w:val="009D7A17"/>
    <w:rsid w:val="009E0FEA"/>
    <w:rsid w:val="00A30FA0"/>
    <w:rsid w:val="00A44EDF"/>
    <w:rsid w:val="00A61AC9"/>
    <w:rsid w:val="00A76AD3"/>
    <w:rsid w:val="00AB4BAE"/>
    <w:rsid w:val="00AD38CA"/>
    <w:rsid w:val="00AF5BC9"/>
    <w:rsid w:val="00B01E20"/>
    <w:rsid w:val="00B13C1A"/>
    <w:rsid w:val="00B2660B"/>
    <w:rsid w:val="00B850C9"/>
    <w:rsid w:val="00B92318"/>
    <w:rsid w:val="00C17A52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CD0CEC"/>
    <w:rsid w:val="00CE4DF8"/>
    <w:rsid w:val="00D15825"/>
    <w:rsid w:val="00D545E4"/>
    <w:rsid w:val="00D760A4"/>
    <w:rsid w:val="00D97177"/>
    <w:rsid w:val="00DE6A2A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9697D"/>
    <w:rsid w:val="00FA2E0B"/>
    <w:rsid w:val="00FA75C8"/>
    <w:rsid w:val="00FD3FD0"/>
    <w:rsid w:val="00FE4E7F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1B06CA"/>
    <w:pPr>
      <w:ind w:left="0"/>
    </w:pPr>
    <w:rPr>
      <w:rFonts w:ascii="Calibri" w:hAnsi="Calibri" w:cs="Tahoma"/>
      <w:kern w:val="2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39"/>
    <w:rsid w:val="003F2181"/>
    <w:pPr>
      <w:jc w:val="both"/>
    </w:pPr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D3F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4D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2020-03-16T17:03:00Z</dcterms:created>
  <dcterms:modified xsi:type="dcterms:W3CDTF">2020-06-20T09:23:00Z</dcterms:modified>
</cp:coreProperties>
</file>