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4E10C594" w:rsidR="00040449" w:rsidRPr="00DE59A4" w:rsidRDefault="0046426E" w:rsidP="00DE5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9A4">
        <w:rPr>
          <w:rFonts w:ascii="Arial" w:hAnsi="Arial" w:cs="Arial"/>
          <w:b/>
          <w:bCs/>
          <w:sz w:val="24"/>
          <w:szCs w:val="24"/>
        </w:rPr>
        <w:t xml:space="preserve">2023 Réunion Jour </w:t>
      </w:r>
      <w:r w:rsidR="00D46709" w:rsidRPr="00DE59A4">
        <w:rPr>
          <w:rFonts w:ascii="Arial" w:hAnsi="Arial" w:cs="Arial"/>
          <w:b/>
          <w:bCs/>
          <w:sz w:val="24"/>
          <w:szCs w:val="24"/>
        </w:rPr>
        <w:t>1</w:t>
      </w:r>
      <w:r w:rsidR="00DE59A4" w:rsidRPr="00DE59A4">
        <w:rPr>
          <w:rFonts w:ascii="Arial" w:hAnsi="Arial" w:cs="Arial"/>
          <w:b/>
          <w:bCs/>
          <w:sz w:val="24"/>
          <w:szCs w:val="24"/>
        </w:rPr>
        <w:tab/>
      </w:r>
      <w:r w:rsidR="00DE59A4" w:rsidRPr="00DE59A4">
        <w:rPr>
          <w:rFonts w:ascii="Arial" w:hAnsi="Arial" w:cs="Arial"/>
          <w:b/>
          <w:bCs/>
          <w:sz w:val="24"/>
          <w:szCs w:val="24"/>
        </w:rPr>
        <w:tab/>
      </w:r>
      <w:r w:rsidR="00DE59A4" w:rsidRPr="00DE59A4">
        <w:rPr>
          <w:rFonts w:ascii="Arial" w:hAnsi="Arial" w:cs="Arial"/>
          <w:b/>
          <w:bCs/>
          <w:sz w:val="24"/>
          <w:szCs w:val="24"/>
        </w:rPr>
        <w:tab/>
      </w:r>
      <w:r w:rsidR="00DE59A4" w:rsidRPr="00DE59A4">
        <w:rPr>
          <w:rFonts w:ascii="Arial" w:hAnsi="Arial" w:cs="Arial"/>
          <w:b/>
          <w:bCs/>
          <w:sz w:val="24"/>
          <w:szCs w:val="24"/>
        </w:rPr>
        <w:tab/>
      </w:r>
      <w:r w:rsidR="00DE59A4" w:rsidRPr="00DE59A4">
        <w:rPr>
          <w:rFonts w:ascii="Arial" w:hAnsi="Arial" w:cs="Arial"/>
          <w:b/>
          <w:bCs/>
          <w:sz w:val="24"/>
          <w:szCs w:val="24"/>
        </w:rPr>
        <w:tab/>
      </w:r>
      <w:r w:rsidR="00DE59A4" w:rsidRPr="00DE59A4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="00DE59A4" w:rsidRPr="00DE59A4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DE59A4" w:rsidRPr="00DE59A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B7917E5" w14:textId="2FB9A5B9" w:rsidR="00EB63DF" w:rsidRPr="00EB63DF" w:rsidRDefault="00EB63DF" w:rsidP="00DE5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22699">
        <w:rPr>
          <w:rFonts w:ascii="Arial" w:hAnsi="Arial" w:cs="Arial"/>
          <w:b/>
          <w:bCs/>
          <w:sz w:val="24"/>
          <w:szCs w:val="24"/>
        </w:rPr>
        <w:t xml:space="preserve">I </w:t>
      </w:r>
      <w:r w:rsidR="00122699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122699" w:rsidRPr="00122699">
        <w:rPr>
          <w:rFonts w:ascii="Arial" w:hAnsi="Arial" w:cs="Arial"/>
          <w:b/>
          <w:bCs/>
          <w:caps/>
          <w:sz w:val="24"/>
          <w:szCs w:val="24"/>
        </w:rPr>
        <w:t>L’e</w:t>
      </w:r>
      <w:r w:rsidR="00B65A7E">
        <w:rPr>
          <w:rFonts w:ascii="Arial" w:hAnsi="Arial" w:cs="Arial"/>
          <w:b/>
          <w:bCs/>
          <w:caps/>
          <w:sz w:val="24"/>
          <w:szCs w:val="24"/>
        </w:rPr>
        <w:t>au de boisson des poules</w:t>
      </w:r>
      <w:r w:rsidR="00122699"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63DF">
        <w:rPr>
          <w:rFonts w:ascii="Arial" w:hAnsi="Arial" w:cs="Arial"/>
          <w:b/>
          <w:bCs/>
          <w:sz w:val="24"/>
          <w:szCs w:val="24"/>
        </w:rPr>
        <w:t>(</w:t>
      </w:r>
      <w:r w:rsidR="00B65A7E">
        <w:rPr>
          <w:rFonts w:ascii="Arial" w:hAnsi="Arial" w:cs="Arial"/>
          <w:b/>
          <w:bCs/>
          <w:sz w:val="24"/>
          <w:szCs w:val="24"/>
        </w:rPr>
        <w:t>9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77777777" w:rsidR="00EB63DF" w:rsidRPr="00EB63DF" w:rsidRDefault="00EB63DF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77777777" w:rsidR="00EB63DF" w:rsidRPr="00EB63DF" w:rsidRDefault="00EB63DF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23C4F" w14:textId="7DDA741A" w:rsidR="00B65A7E" w:rsidRPr="00B65A7E" w:rsidRDefault="00B65A7E" w:rsidP="00D205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Dans un élevage, l’eau de boisson des poules doit être constamment traitée. Elle doit être</w:t>
      </w:r>
      <w:r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Arial" w:hAnsi="Arial" w:cs="Arial"/>
          <w:sz w:val="24"/>
          <w:szCs w:val="24"/>
        </w:rPr>
        <w:t>désinfectée tout au long de la chaîne de distribution, par exemple avec du peroxyde d’hydrogène</w:t>
      </w:r>
      <w:r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Arial" w:hAnsi="Arial" w:cs="Arial"/>
          <w:sz w:val="24"/>
          <w:szCs w:val="24"/>
        </w:rPr>
        <w:t>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, aussi appelé eau oxygénée.</w:t>
      </w:r>
    </w:p>
    <w:p w14:paraId="621935C3" w14:textId="4453BF09" w:rsidR="00B65A7E" w:rsidRDefault="00B65A7E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Afin d’éviter le développement d’une flore intestinale pathogène et de servir de vermifuge, le</w:t>
      </w:r>
      <w:r w:rsidR="005E5B23">
        <w:rPr>
          <w:rFonts w:ascii="Arial" w:hAnsi="Arial" w:cs="Arial"/>
          <w:sz w:val="24"/>
          <w:szCs w:val="24"/>
        </w:rPr>
        <w:t xml:space="preserve"> </w:t>
      </w:r>
      <w:r w:rsidR="005E5B23" w:rsidRPr="005E5B23">
        <w:rPr>
          <w:rFonts w:ascii="Arial" w:hAnsi="Arial" w:cs="Arial"/>
          <w:i/>
          <w:iCs/>
          <w:sz w:val="24"/>
          <w:szCs w:val="24"/>
        </w:rPr>
        <w:t>pH</w:t>
      </w:r>
      <w:r w:rsidRPr="00B65A7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Arial" w:hAnsi="Arial" w:cs="Arial"/>
          <w:sz w:val="24"/>
          <w:szCs w:val="24"/>
        </w:rPr>
        <w:t>l’eau doit être constamment maintenu entre 5,5 et 6,5.</w:t>
      </w:r>
    </w:p>
    <w:p w14:paraId="41B11FCF" w14:textId="77777777" w:rsidR="00B65A7E" w:rsidRPr="00B65A7E" w:rsidRDefault="00B65A7E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05DA4" w14:textId="746BCA29" w:rsidR="00B65A7E" w:rsidRPr="00B65A7E" w:rsidRDefault="00B65A7E" w:rsidP="00D20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A7E">
        <w:rPr>
          <w:rFonts w:ascii="Arial" w:hAnsi="Arial" w:cs="Arial"/>
          <w:b/>
          <w:bCs/>
          <w:sz w:val="24"/>
          <w:szCs w:val="24"/>
        </w:rPr>
        <w:t>Données :</w:t>
      </w:r>
    </w:p>
    <w:p w14:paraId="663789F1" w14:textId="77777777" w:rsidR="00B65A7E" w:rsidRPr="00B65A7E" w:rsidRDefault="00B65A7E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55AAE" w14:textId="2C45439E" w:rsidR="00B65A7E" w:rsidRPr="00B65A7E" w:rsidRDefault="00B65A7E" w:rsidP="00D20592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 xml:space="preserve">Masse molaire du peroxyde d’hydrogène : </w:t>
      </w:r>
      <w:r w:rsidRPr="00B65A7E">
        <w:rPr>
          <w:rFonts w:ascii="Cambria Math" w:hAnsi="Cambria Math" w:cs="Cambria Math"/>
          <w:i/>
          <w:iCs/>
          <w:sz w:val="24"/>
          <w:szCs w:val="24"/>
        </w:rPr>
        <w:t>M</w:t>
      </w:r>
      <w:r w:rsidRPr="00B65A7E">
        <w:rPr>
          <w:rFonts w:ascii="Arial" w:hAnsi="Arial" w:cs="Arial"/>
          <w:sz w:val="24"/>
          <w:szCs w:val="24"/>
        </w:rPr>
        <w:t>(H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) = 34,0 g </w:t>
      </w:r>
      <w:r w:rsidRPr="00B65A7E">
        <w:rPr>
          <w:rFonts w:ascii="Cambria Math" w:hAnsi="Cambria Math" w:cs="Cambria Math"/>
          <w:sz w:val="24"/>
          <w:szCs w:val="24"/>
        </w:rPr>
        <w:t>⋅</w:t>
      </w:r>
      <w:r w:rsidRPr="00B65A7E">
        <w:rPr>
          <w:rFonts w:ascii="Arial" w:hAnsi="Arial" w:cs="Arial"/>
          <w:sz w:val="24"/>
          <w:szCs w:val="24"/>
        </w:rPr>
        <w:t xml:space="preserve"> mol </w:t>
      </w:r>
      <w:r w:rsidRPr="00B65A7E">
        <w:rPr>
          <w:rFonts w:ascii="Arial" w:hAnsi="Arial" w:cs="Arial"/>
          <w:sz w:val="24"/>
          <w:szCs w:val="24"/>
          <w:vertAlign w:val="superscript"/>
        </w:rPr>
        <w:t>−1</w:t>
      </w:r>
      <w:r w:rsidRPr="00B65A7E">
        <w:rPr>
          <w:rFonts w:ascii="Arial" w:hAnsi="Arial" w:cs="Arial"/>
          <w:sz w:val="24"/>
          <w:szCs w:val="24"/>
        </w:rPr>
        <w:t xml:space="preserve"> </w:t>
      </w:r>
    </w:p>
    <w:p w14:paraId="24F4BA07" w14:textId="22FE15A6" w:rsidR="00B65A7E" w:rsidRPr="00B65A7E" w:rsidRDefault="00B65A7E" w:rsidP="00D20592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Couples d’oxydoréduction mis en jeu</w:t>
      </w:r>
      <w:r>
        <w:rPr>
          <w:rFonts w:ascii="Arial" w:hAnsi="Arial" w:cs="Arial"/>
          <w:sz w:val="24"/>
          <w:szCs w:val="24"/>
        </w:rPr>
        <w:t> :</w:t>
      </w:r>
    </w:p>
    <w:p w14:paraId="5B9158D6" w14:textId="4613CD20" w:rsidR="00B65A7E" w:rsidRPr="00B65A7E" w:rsidRDefault="00B65A7E" w:rsidP="00D20592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(aq) / 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O(l)</w:t>
      </w:r>
    </w:p>
    <w:p w14:paraId="7209EFB8" w14:textId="6685011B" w:rsidR="00B65A7E" w:rsidRPr="00B65A7E" w:rsidRDefault="00B65A7E" w:rsidP="00D20592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(g) / 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(aq)</w:t>
      </w:r>
    </w:p>
    <w:p w14:paraId="2A574027" w14:textId="79397D0D" w:rsidR="00B65A7E" w:rsidRPr="00B65A7E" w:rsidRDefault="00B65A7E" w:rsidP="00D20592">
      <w:pPr>
        <w:pStyle w:val="Paragraphedeliste"/>
        <w:numPr>
          <w:ilvl w:val="0"/>
          <w:numId w:val="9"/>
        </w:numPr>
        <w:tabs>
          <w:tab w:val="left" w:pos="1134"/>
        </w:tabs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MnO</w:t>
      </w:r>
      <w:r w:rsidRPr="00B65A7E">
        <w:rPr>
          <w:rFonts w:ascii="Arial" w:hAnsi="Arial" w:cs="Arial"/>
          <w:sz w:val="24"/>
          <w:szCs w:val="24"/>
          <w:vertAlign w:val="subscript"/>
        </w:rPr>
        <w:t>4</w:t>
      </w:r>
      <w:r w:rsidRPr="00B65A7E">
        <w:rPr>
          <w:rFonts w:ascii="Arial" w:hAnsi="Arial" w:cs="Arial"/>
          <w:sz w:val="24"/>
          <w:szCs w:val="24"/>
          <w:vertAlign w:val="superscript"/>
        </w:rPr>
        <w:t>−</w:t>
      </w:r>
      <w:r w:rsidRPr="00B65A7E">
        <w:rPr>
          <w:rFonts w:ascii="Arial" w:hAnsi="Arial" w:cs="Arial"/>
          <w:sz w:val="24"/>
          <w:szCs w:val="24"/>
        </w:rPr>
        <w:t xml:space="preserve"> (aq) / Mn</w:t>
      </w:r>
      <w:r w:rsidRPr="00B65A7E">
        <w:rPr>
          <w:rFonts w:ascii="Arial" w:hAnsi="Arial" w:cs="Arial"/>
          <w:sz w:val="24"/>
          <w:szCs w:val="24"/>
          <w:vertAlign w:val="superscript"/>
        </w:rPr>
        <w:t>2+</w:t>
      </w:r>
      <w:r w:rsidRPr="00B65A7E">
        <w:rPr>
          <w:rFonts w:ascii="Arial" w:hAnsi="Arial" w:cs="Arial"/>
          <w:sz w:val="24"/>
          <w:szCs w:val="24"/>
        </w:rPr>
        <w:t xml:space="preserve"> (aq)</w:t>
      </w:r>
    </w:p>
    <w:p w14:paraId="3303DFF8" w14:textId="20ED6F8D" w:rsidR="00B65A7E" w:rsidRPr="00B65A7E" w:rsidRDefault="00B65A7E" w:rsidP="00D20592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Réaction de dismutation du peroxyde d’hydrogène</w:t>
      </w:r>
      <w:r>
        <w:rPr>
          <w:rFonts w:ascii="Arial" w:hAnsi="Arial" w:cs="Arial"/>
          <w:sz w:val="24"/>
          <w:szCs w:val="24"/>
        </w:rPr>
        <w:t> :</w:t>
      </w:r>
    </w:p>
    <w:p w14:paraId="1BE06F20" w14:textId="44C0C3F9" w:rsidR="00B65A7E" w:rsidRPr="00B65A7E" w:rsidRDefault="00B65A7E" w:rsidP="00D2059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2 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(aq) </w:t>
      </w:r>
      <w:r w:rsidRPr="00B65A7E">
        <w:rPr>
          <w:rFonts w:ascii="Cambria Math" w:hAnsi="Cambria Math" w:cs="Cambria Math"/>
          <w:sz w:val="24"/>
          <w:szCs w:val="24"/>
        </w:rPr>
        <w:t>⇄</w:t>
      </w:r>
      <w:r w:rsidRPr="00B65A7E">
        <w:rPr>
          <w:rFonts w:ascii="Arial" w:hAnsi="Arial" w:cs="Arial"/>
          <w:sz w:val="24"/>
          <w:szCs w:val="24"/>
        </w:rPr>
        <w:t xml:space="preserve"> 2 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O(l) + 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(g)</w:t>
      </w:r>
    </w:p>
    <w:p w14:paraId="71AEE740" w14:textId="772E174F" w:rsidR="00B65A7E" w:rsidRPr="00B65A7E" w:rsidRDefault="00B65A7E" w:rsidP="00D205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C’est une réaction spontanée mais lente à température ambiante, voire très lente à la</w:t>
      </w:r>
      <w:r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Arial" w:hAnsi="Arial" w:cs="Arial"/>
          <w:sz w:val="24"/>
          <w:szCs w:val="24"/>
        </w:rPr>
        <w:t>température d’un réfrigérateur.</w:t>
      </w:r>
    </w:p>
    <w:p w14:paraId="05C14EBD" w14:textId="67047293" w:rsidR="00B65A7E" w:rsidRPr="00B65A7E" w:rsidRDefault="00B65A7E" w:rsidP="00D205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Le récipient contenant le peroxyde d’hydrogène doit être conservé à l’abri de la lumière afin</w:t>
      </w:r>
      <w:r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Arial" w:hAnsi="Arial" w:cs="Arial"/>
          <w:sz w:val="24"/>
          <w:szCs w:val="24"/>
        </w:rPr>
        <w:t>de ne pas accélérer la réaction de dismutation.</w:t>
      </w:r>
    </w:p>
    <w:p w14:paraId="5649FF00" w14:textId="4A682F1B" w:rsidR="00B65A7E" w:rsidRPr="00B65A7E" w:rsidRDefault="00B65A7E" w:rsidP="00D20592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Valeurs de</w:t>
      </w:r>
      <w:r w:rsidR="005D311E">
        <w:rPr>
          <w:rFonts w:ascii="Arial" w:hAnsi="Arial" w:cs="Arial"/>
          <w:sz w:val="24"/>
          <w:szCs w:val="24"/>
        </w:rPr>
        <w:t xml:space="preserve"> </w:t>
      </w:r>
      <w:r w:rsidR="005D311E" w:rsidRPr="005D311E">
        <w:rPr>
          <w:rFonts w:ascii="Arial" w:hAnsi="Arial" w:cs="Arial"/>
          <w:i/>
          <w:iCs/>
          <w:sz w:val="24"/>
          <w:szCs w:val="24"/>
        </w:rPr>
        <w:t>pK</w:t>
      </w:r>
      <w:r w:rsidR="005D311E" w:rsidRPr="005D311E">
        <w:rPr>
          <w:rFonts w:ascii="Arial" w:hAnsi="Arial" w:cs="Arial"/>
          <w:sz w:val="24"/>
          <w:szCs w:val="24"/>
          <w:vertAlign w:val="subscript"/>
        </w:rPr>
        <w:t>A</w:t>
      </w:r>
      <w:r w:rsidRPr="00B65A7E">
        <w:rPr>
          <w:rFonts w:ascii="Arial" w:hAnsi="Arial" w:cs="Arial"/>
          <w:sz w:val="24"/>
          <w:szCs w:val="24"/>
        </w:rPr>
        <w:t xml:space="preserve"> à 25 °C du couple acide-base associé</w:t>
      </w:r>
      <w:r>
        <w:rPr>
          <w:rFonts w:ascii="Arial" w:hAnsi="Arial" w:cs="Arial"/>
          <w:sz w:val="24"/>
          <w:szCs w:val="24"/>
        </w:rPr>
        <w:t> :</w:t>
      </w:r>
    </w:p>
    <w:p w14:paraId="58E475E0" w14:textId="007D6931" w:rsidR="00AB2A41" w:rsidRDefault="00AB2A41" w:rsidP="00D20592">
      <w:pPr>
        <w:pStyle w:val="Paragraphedeliste"/>
        <w:numPr>
          <w:ilvl w:val="0"/>
          <w:numId w:val="9"/>
        </w:numPr>
        <w:tabs>
          <w:tab w:val="left" w:pos="1134"/>
          <w:tab w:val="left" w:pos="6804"/>
        </w:tabs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au peroxyde d’hydrogène</w:t>
      </w:r>
      <w:r>
        <w:rPr>
          <w:rFonts w:ascii="Arial" w:hAnsi="Arial" w:cs="Arial"/>
          <w:sz w:val="24"/>
          <w:szCs w:val="24"/>
        </w:rPr>
        <w:t> :</w:t>
      </w:r>
      <w:r w:rsidRPr="00B65A7E">
        <w:rPr>
          <w:rFonts w:ascii="Arial" w:hAnsi="Arial" w:cs="Arial"/>
          <w:sz w:val="24"/>
          <w:szCs w:val="24"/>
        </w:rPr>
        <w:t xml:space="preserve"> H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(aq) / HO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r w:rsidRPr="00B65A7E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ab/>
      </w:r>
      <w:r w:rsidRPr="00B65A7E">
        <w:rPr>
          <w:rFonts w:ascii="Cambria Math" w:hAnsi="Cambria Math" w:cs="Cambria Math"/>
          <w:sz w:val="24"/>
          <w:szCs w:val="24"/>
        </w:rPr>
        <w:t>𝑝</w:t>
      </w:r>
      <w:r w:rsidRPr="00B65A7E">
        <w:rPr>
          <w:rFonts w:ascii="Cambria Math" w:hAnsi="Cambria Math" w:cs="Cambria Math"/>
          <w:i/>
          <w:iCs/>
          <w:sz w:val="24"/>
          <w:szCs w:val="24"/>
        </w:rPr>
        <w:t>K</w:t>
      </w:r>
      <w:r w:rsidRPr="00B65A7E">
        <w:rPr>
          <w:rFonts w:ascii="Arial" w:hAnsi="Arial" w:cs="Arial"/>
          <w:sz w:val="24"/>
          <w:szCs w:val="24"/>
          <w:vertAlign w:val="subscript"/>
        </w:rPr>
        <w:t>A</w:t>
      </w:r>
      <w:r w:rsidRPr="00B6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B6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11,7</w:t>
      </w:r>
    </w:p>
    <w:p w14:paraId="0E509723" w14:textId="1A66BDB8" w:rsidR="00AB2A41" w:rsidRPr="00B65A7E" w:rsidRDefault="00AB2A41" w:rsidP="00D20592">
      <w:pPr>
        <w:pStyle w:val="Paragraphedeliste"/>
        <w:numPr>
          <w:ilvl w:val="0"/>
          <w:numId w:val="9"/>
        </w:numPr>
        <w:tabs>
          <w:tab w:val="left" w:pos="1134"/>
          <w:tab w:val="left" w:pos="6804"/>
        </w:tabs>
        <w:spacing w:after="0" w:line="240" w:lineRule="auto"/>
        <w:ind w:left="113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à l’acide acétique</w:t>
      </w:r>
      <w:r>
        <w:rPr>
          <w:rFonts w:ascii="Arial" w:hAnsi="Arial" w:cs="Arial"/>
          <w:sz w:val="24"/>
          <w:szCs w:val="24"/>
        </w:rPr>
        <w:t> : C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 xml:space="preserve"> (aq) / </w:t>
      </w:r>
      <w:r>
        <w:rPr>
          <w:rFonts w:ascii="Arial" w:hAnsi="Arial" w:cs="Arial"/>
          <w:sz w:val="24"/>
          <w:szCs w:val="24"/>
        </w:rPr>
        <w:t>C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 w:rsidRPr="00B65A7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B65A7E">
        <w:rPr>
          <w:rFonts w:ascii="Arial" w:hAnsi="Arial" w:cs="Arial"/>
          <w:sz w:val="24"/>
          <w:szCs w:val="24"/>
        </w:rPr>
        <w:t>O</w:t>
      </w:r>
      <w:r w:rsidRPr="00B65A7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r w:rsidRPr="00B65A7E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ab/>
      </w:r>
      <w:r w:rsidRPr="00B65A7E">
        <w:rPr>
          <w:rFonts w:ascii="Cambria Math" w:hAnsi="Cambria Math" w:cs="Cambria Math"/>
          <w:sz w:val="24"/>
          <w:szCs w:val="24"/>
        </w:rPr>
        <w:t>𝑝</w:t>
      </w:r>
      <w:r w:rsidRPr="00B65A7E">
        <w:rPr>
          <w:rFonts w:ascii="Cambria Math" w:hAnsi="Cambria Math" w:cs="Cambria Math"/>
          <w:i/>
          <w:iCs/>
          <w:sz w:val="24"/>
          <w:szCs w:val="24"/>
        </w:rPr>
        <w:t>K</w:t>
      </w:r>
      <w:r w:rsidRPr="00B65A7E">
        <w:rPr>
          <w:rFonts w:ascii="Arial" w:hAnsi="Arial" w:cs="Arial"/>
          <w:sz w:val="24"/>
          <w:szCs w:val="24"/>
          <w:vertAlign w:val="subscript"/>
        </w:rPr>
        <w:t>A</w:t>
      </w:r>
      <w:r w:rsidRPr="00B6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B6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4,8</w:t>
      </w:r>
    </w:p>
    <w:p w14:paraId="21F2295E" w14:textId="1A2766C8" w:rsidR="00B65A7E" w:rsidRDefault="00B65A7E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64FE8" w14:textId="6E70C964" w:rsidR="00B65A7E" w:rsidRPr="00B65A7E" w:rsidRDefault="00B65A7E" w:rsidP="00D20592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65A7E">
        <w:rPr>
          <w:rFonts w:ascii="Arial" w:hAnsi="Arial" w:cs="Arial"/>
          <w:sz w:val="24"/>
          <w:szCs w:val="24"/>
        </w:rPr>
        <w:t>Valeurs de</w:t>
      </w:r>
      <w:r>
        <w:rPr>
          <w:rFonts w:ascii="Arial" w:hAnsi="Arial" w:cs="Arial"/>
          <w:sz w:val="24"/>
          <w:szCs w:val="24"/>
        </w:rPr>
        <w:t xml:space="preserve"> la concentration standard</w:t>
      </w:r>
      <w:r w:rsidRPr="00B65A7E"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C</w:t>
      </w:r>
      <w:r w:rsidRPr="00B65A7E">
        <w:rPr>
          <w:rFonts w:ascii="Cambria Math" w:hAnsi="Cambria Math" w:cs="Cambria Math"/>
          <w:sz w:val="24"/>
          <w:szCs w:val="24"/>
          <w:vertAlign w:val="superscript"/>
        </w:rPr>
        <w:t>0</w:t>
      </w:r>
      <w:r w:rsidRPr="00B6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1</w:t>
      </w:r>
      <w:r w:rsidRPr="00B65A7E">
        <w:rPr>
          <w:rFonts w:ascii="Arial" w:hAnsi="Arial" w:cs="Arial"/>
          <w:sz w:val="24"/>
          <w:szCs w:val="24"/>
        </w:rPr>
        <w:t xml:space="preserve">,0 </w:t>
      </w:r>
      <w:r>
        <w:rPr>
          <w:rFonts w:ascii="Arial" w:hAnsi="Arial" w:cs="Arial"/>
          <w:sz w:val="24"/>
          <w:szCs w:val="24"/>
        </w:rPr>
        <w:t>mol</w:t>
      </w:r>
      <w:r w:rsidRPr="00B65A7E"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Cambria Math" w:hAnsi="Cambria Math" w:cs="Cambria Math"/>
          <w:sz w:val="24"/>
          <w:szCs w:val="24"/>
        </w:rPr>
        <w:t>⋅</w:t>
      </w:r>
      <w:r w:rsidRPr="00B65A7E">
        <w:rPr>
          <w:rFonts w:ascii="Arial" w:hAnsi="Arial" w:cs="Arial"/>
          <w:sz w:val="24"/>
          <w:szCs w:val="24"/>
        </w:rPr>
        <w:t xml:space="preserve"> </w:t>
      </w:r>
      <w:r w:rsidR="00AB2A41">
        <w:rPr>
          <w:rFonts w:ascii="Arial" w:hAnsi="Arial" w:cs="Arial"/>
          <w:sz w:val="24"/>
          <w:szCs w:val="24"/>
        </w:rPr>
        <w:t>L</w:t>
      </w:r>
      <w:r w:rsidRPr="00B65A7E">
        <w:rPr>
          <w:rFonts w:ascii="Arial" w:hAnsi="Arial" w:cs="Arial"/>
          <w:sz w:val="24"/>
          <w:szCs w:val="24"/>
        </w:rPr>
        <w:t xml:space="preserve"> </w:t>
      </w:r>
      <w:r w:rsidRPr="00B65A7E">
        <w:rPr>
          <w:rFonts w:ascii="Arial" w:hAnsi="Arial" w:cs="Arial"/>
          <w:sz w:val="24"/>
          <w:szCs w:val="24"/>
          <w:vertAlign w:val="superscript"/>
        </w:rPr>
        <w:t>−1</w:t>
      </w:r>
    </w:p>
    <w:p w14:paraId="7374609A" w14:textId="77777777" w:rsidR="00B65A7E" w:rsidRDefault="00B65A7E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93B0E" w14:textId="0F4B76AF" w:rsidR="00B65A7E" w:rsidRDefault="00B65A7E" w:rsidP="00D205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52B2B7" w14:textId="4FAAAF5B" w:rsidR="0037522D" w:rsidRPr="00D20592" w:rsidRDefault="0037522D" w:rsidP="00D20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2059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</w:t>
      </w:r>
      <w:r w:rsidR="00D20592" w:rsidRPr="00D20592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D20592">
        <w:rPr>
          <w:rFonts w:ascii="Arial" w:hAnsi="Arial" w:cs="Arial"/>
          <w:b/>
          <w:bCs/>
          <w:sz w:val="24"/>
          <w:szCs w:val="24"/>
          <w:u w:val="single"/>
        </w:rPr>
        <w:t xml:space="preserve"> Le traitement de l’eau de boisson d’un élevage industriel de poules</w:t>
      </w:r>
    </w:p>
    <w:p w14:paraId="439EDB2A" w14:textId="77777777" w:rsidR="00D20592" w:rsidRDefault="00D20592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46459" w14:textId="1BF29084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L’oxydosane est un décontaminant et acidifiant des eaux de boisson pour animaux. Il est notamment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utilisé dans les élevages de poules pondeuses.</w:t>
      </w:r>
    </w:p>
    <w:p w14:paraId="6103385A" w14:textId="177DC6D5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C’est une solution composée notamment de peroxyde d’hydrogène. La concentration en masse en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peroxyde d’hydrogène dans celle-ci est de 248 g </w:t>
      </w:r>
      <w:r w:rsidRPr="0037522D">
        <w:rPr>
          <w:rFonts w:ascii="Cambria Math" w:hAnsi="Cambria Math" w:cs="Cambria Math"/>
          <w:sz w:val="24"/>
          <w:szCs w:val="24"/>
        </w:rPr>
        <w:t>⋅</w:t>
      </w:r>
      <w:r w:rsidRPr="0037522D">
        <w:rPr>
          <w:rFonts w:ascii="Arial" w:hAnsi="Arial" w:cs="Arial"/>
          <w:sz w:val="24"/>
          <w:szCs w:val="24"/>
        </w:rPr>
        <w:t xml:space="preserve"> L</w:t>
      </w:r>
      <w:r w:rsidRPr="00D20592">
        <w:rPr>
          <w:rFonts w:ascii="Arial" w:hAnsi="Arial" w:cs="Arial"/>
          <w:sz w:val="24"/>
          <w:szCs w:val="24"/>
          <w:vertAlign w:val="superscript"/>
        </w:rPr>
        <w:t>−1</w:t>
      </w:r>
      <w:r w:rsidRPr="0037522D">
        <w:rPr>
          <w:rFonts w:ascii="Arial" w:hAnsi="Arial" w:cs="Arial"/>
          <w:sz w:val="24"/>
          <w:szCs w:val="24"/>
        </w:rPr>
        <w:t>.</w:t>
      </w:r>
    </w:p>
    <w:p w14:paraId="5395C4F0" w14:textId="4980C955" w:rsidR="0037522D" w:rsidRPr="00D20592" w:rsidRDefault="0037522D" w:rsidP="002674F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592">
        <w:rPr>
          <w:rFonts w:ascii="Arial" w:hAnsi="Arial" w:cs="Arial"/>
          <w:b/>
          <w:bCs/>
          <w:sz w:val="24"/>
          <w:szCs w:val="24"/>
        </w:rPr>
        <w:t>Mode d’emploi (d’après le fabricant GEOSANE)</w:t>
      </w:r>
      <w:r w:rsidR="00D20592" w:rsidRPr="00D20592">
        <w:rPr>
          <w:rFonts w:ascii="Arial" w:hAnsi="Arial" w:cs="Arial"/>
          <w:b/>
          <w:bCs/>
          <w:sz w:val="24"/>
          <w:szCs w:val="24"/>
        </w:rPr>
        <w:t> :</w:t>
      </w:r>
    </w:p>
    <w:p w14:paraId="33B108C6" w14:textId="561EF01C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Norme 1</w:t>
      </w:r>
      <w:r w:rsidR="00D20592">
        <w:rPr>
          <w:rFonts w:ascii="Arial" w:hAnsi="Arial" w:cs="Arial"/>
          <w:sz w:val="24"/>
          <w:szCs w:val="24"/>
        </w:rPr>
        <w:t> :</w:t>
      </w:r>
      <w:r w:rsidRPr="0037522D">
        <w:rPr>
          <w:rFonts w:ascii="Arial" w:hAnsi="Arial" w:cs="Arial"/>
          <w:sz w:val="24"/>
          <w:szCs w:val="24"/>
        </w:rPr>
        <w:t xml:space="preserve"> Pour la désinfection et l’acidification (présence de poules dans l’élevage)</w:t>
      </w:r>
    </w:p>
    <w:p w14:paraId="29AA68C0" w14:textId="7A9B8423" w:rsidR="0037522D" w:rsidRPr="00D20592" w:rsidRDefault="0037522D" w:rsidP="002674F7">
      <w:pPr>
        <w:pStyle w:val="Paragraphedeliste"/>
        <w:numPr>
          <w:ilvl w:val="0"/>
          <w:numId w:val="10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Incorporer OXYDOSANE à raison de 100 mL à 200 mL pour un total de 1000 L d’eau.</w:t>
      </w:r>
    </w:p>
    <w:p w14:paraId="098158E8" w14:textId="76F012F1" w:rsidR="0037522D" w:rsidRPr="00D20592" w:rsidRDefault="0037522D" w:rsidP="002674F7">
      <w:pPr>
        <w:pStyle w:val="Paragraphedeliste"/>
        <w:numPr>
          <w:ilvl w:val="0"/>
          <w:numId w:val="10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 xml:space="preserve">Dose à adapter en fonction du </w:t>
      </w:r>
      <w:r w:rsidR="002674F7" w:rsidRPr="002674F7">
        <w:rPr>
          <w:rFonts w:ascii="Arial" w:hAnsi="Arial" w:cs="Arial"/>
          <w:i/>
          <w:iCs/>
          <w:sz w:val="24"/>
          <w:szCs w:val="24"/>
        </w:rPr>
        <w:t>pH</w:t>
      </w:r>
      <w:r w:rsidRPr="00D20592">
        <w:rPr>
          <w:rFonts w:ascii="Arial" w:hAnsi="Arial" w:cs="Arial"/>
          <w:sz w:val="24"/>
          <w:szCs w:val="24"/>
        </w:rPr>
        <w:t xml:space="preserve"> souhaité et de la désinfection nécessaire.</w:t>
      </w:r>
    </w:p>
    <w:p w14:paraId="423C76E0" w14:textId="1EABC165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Norme 2</w:t>
      </w:r>
      <w:r w:rsidR="00D20592">
        <w:rPr>
          <w:rFonts w:ascii="Arial" w:hAnsi="Arial" w:cs="Arial"/>
          <w:sz w:val="24"/>
          <w:szCs w:val="24"/>
        </w:rPr>
        <w:t> :</w:t>
      </w:r>
      <w:r w:rsidRPr="0037522D">
        <w:rPr>
          <w:rFonts w:ascii="Arial" w:hAnsi="Arial" w:cs="Arial"/>
          <w:sz w:val="24"/>
          <w:szCs w:val="24"/>
        </w:rPr>
        <w:t xml:space="preserve"> Durant le vide sanitaire (absence de poules dans l’élevage)</w:t>
      </w:r>
    </w:p>
    <w:p w14:paraId="24A94ADD" w14:textId="68E2B267" w:rsidR="0037522D" w:rsidRPr="00D20592" w:rsidRDefault="0037522D" w:rsidP="002674F7">
      <w:pPr>
        <w:pStyle w:val="Paragraphedeliste"/>
        <w:numPr>
          <w:ilvl w:val="0"/>
          <w:numId w:val="11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Incorporer OXYDOSANE à raison de 2,00 L pour un total de 100 L d’eau.</w:t>
      </w:r>
    </w:p>
    <w:p w14:paraId="0DA9D1CF" w14:textId="6D450731" w:rsidR="0037522D" w:rsidRPr="00D20592" w:rsidRDefault="0037522D" w:rsidP="002674F7">
      <w:pPr>
        <w:pStyle w:val="Paragraphedeliste"/>
        <w:numPr>
          <w:ilvl w:val="0"/>
          <w:numId w:val="11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Temps de contact</w:t>
      </w:r>
      <w:r w:rsidR="00D20592">
        <w:rPr>
          <w:rFonts w:ascii="Arial" w:hAnsi="Arial" w:cs="Arial"/>
          <w:sz w:val="24"/>
          <w:szCs w:val="24"/>
        </w:rPr>
        <w:t> :</w:t>
      </w:r>
      <w:r w:rsidRPr="00D20592">
        <w:rPr>
          <w:rFonts w:ascii="Arial" w:hAnsi="Arial" w:cs="Arial"/>
          <w:sz w:val="24"/>
          <w:szCs w:val="24"/>
        </w:rPr>
        <w:t xml:space="preserve"> au minimum 1 h.</w:t>
      </w:r>
    </w:p>
    <w:p w14:paraId="46E2BDA7" w14:textId="1E742601" w:rsidR="0037522D" w:rsidRPr="00D20592" w:rsidRDefault="0037522D" w:rsidP="002674F7">
      <w:pPr>
        <w:pStyle w:val="Paragraphedeliste"/>
        <w:numPr>
          <w:ilvl w:val="0"/>
          <w:numId w:val="11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Faire suivre d’un long rinçage.</w:t>
      </w:r>
    </w:p>
    <w:p w14:paraId="0C875949" w14:textId="77777777" w:rsidR="00D20592" w:rsidRDefault="00D20592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28624" w14:textId="404AB17A" w:rsidR="0037522D" w:rsidRPr="00D20592" w:rsidRDefault="0037522D" w:rsidP="00D20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20592">
        <w:rPr>
          <w:rFonts w:ascii="Arial" w:hAnsi="Arial" w:cs="Arial"/>
          <w:b/>
          <w:bCs/>
          <w:sz w:val="24"/>
          <w:szCs w:val="24"/>
          <w:u w:val="single"/>
        </w:rPr>
        <w:t>A. Décontamination de l’eau en fin de chaine des abreuvoirs</w:t>
      </w:r>
    </w:p>
    <w:p w14:paraId="1D8250FE" w14:textId="77777777" w:rsidR="00D20592" w:rsidRDefault="00D20592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36204" w14:textId="6BF9D231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Afin de vérifier que l’eau de boisson de l’élevage est toujours désinfectée en fin de cha</w:t>
      </w:r>
      <w:r w:rsidR="00D20592">
        <w:rPr>
          <w:rFonts w:ascii="Arial" w:hAnsi="Arial" w:cs="Arial"/>
          <w:sz w:val="24"/>
          <w:szCs w:val="24"/>
        </w:rPr>
        <w:t>î</w:t>
      </w:r>
      <w:r w:rsidRPr="0037522D">
        <w:rPr>
          <w:rFonts w:ascii="Arial" w:hAnsi="Arial" w:cs="Arial"/>
          <w:sz w:val="24"/>
          <w:szCs w:val="24"/>
        </w:rPr>
        <w:t>ne, l’éleveur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prélève </w:t>
      </w:r>
      <w:r w:rsidR="00D20592" w:rsidRPr="00D20592">
        <w:rPr>
          <w:rFonts w:ascii="Arial" w:hAnsi="Arial" w:cs="Arial"/>
          <w:i/>
          <w:iCs/>
          <w:sz w:val="24"/>
          <w:szCs w:val="24"/>
        </w:rPr>
        <w:t>V</w:t>
      </w:r>
      <w:r w:rsidRPr="00D20592">
        <w:rPr>
          <w:rFonts w:ascii="Arial" w:hAnsi="Arial" w:cs="Arial"/>
          <w:sz w:val="24"/>
          <w:szCs w:val="24"/>
          <w:vertAlign w:val="subscript"/>
        </w:rPr>
        <w:t>1</w:t>
      </w:r>
      <w:r w:rsidRPr="0037522D">
        <w:rPr>
          <w:rFonts w:ascii="Arial" w:hAnsi="Arial" w:cs="Arial"/>
          <w:sz w:val="24"/>
          <w:szCs w:val="24"/>
        </w:rPr>
        <w:t xml:space="preserve"> = 20,00 ± 0,05 mL de cette eau et décide de déterminer sa concentration </w:t>
      </w:r>
      <w:r w:rsidRPr="0037522D">
        <w:rPr>
          <w:rFonts w:ascii="Cambria Math" w:hAnsi="Cambria Math" w:cs="Cambria Math"/>
          <w:sz w:val="24"/>
          <w:szCs w:val="24"/>
        </w:rPr>
        <w:t>𝑐</w:t>
      </w:r>
      <w:r w:rsidRPr="00D20592">
        <w:rPr>
          <w:rFonts w:ascii="Arial" w:hAnsi="Arial" w:cs="Arial"/>
          <w:sz w:val="24"/>
          <w:szCs w:val="24"/>
          <w:vertAlign w:val="subscript"/>
        </w:rPr>
        <w:t>1</w:t>
      </w:r>
      <w:r w:rsidRPr="0037522D">
        <w:rPr>
          <w:rFonts w:ascii="Arial" w:hAnsi="Arial" w:cs="Arial"/>
          <w:sz w:val="24"/>
          <w:szCs w:val="24"/>
        </w:rPr>
        <w:t xml:space="preserve"> en quantité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de matière de peroxyde d’oxygène H</w:t>
      </w:r>
      <w:r w:rsidRPr="00D20592">
        <w:rPr>
          <w:rFonts w:ascii="Arial" w:hAnsi="Arial" w:cs="Arial"/>
          <w:sz w:val="24"/>
          <w:szCs w:val="24"/>
          <w:vertAlign w:val="subscript"/>
        </w:rPr>
        <w:t>2</w:t>
      </w:r>
      <w:r w:rsidRPr="0037522D">
        <w:rPr>
          <w:rFonts w:ascii="Arial" w:hAnsi="Arial" w:cs="Arial"/>
          <w:sz w:val="24"/>
          <w:szCs w:val="24"/>
        </w:rPr>
        <w:t>O</w:t>
      </w:r>
      <w:r w:rsidRPr="00D20592">
        <w:rPr>
          <w:rFonts w:ascii="Arial" w:hAnsi="Arial" w:cs="Arial"/>
          <w:sz w:val="24"/>
          <w:szCs w:val="24"/>
          <w:vertAlign w:val="subscript"/>
        </w:rPr>
        <w:t>2</w:t>
      </w:r>
      <w:r w:rsidRPr="0037522D">
        <w:rPr>
          <w:rFonts w:ascii="Arial" w:hAnsi="Arial" w:cs="Arial"/>
          <w:sz w:val="24"/>
          <w:szCs w:val="24"/>
        </w:rPr>
        <w:t>.</w:t>
      </w:r>
    </w:p>
    <w:p w14:paraId="220E4940" w14:textId="78FEBB61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 xml:space="preserve">Pour cela, il procède au titrage du peroxyde d’oxygène présent dans le volume </w:t>
      </w:r>
      <w:r w:rsidR="00D20592" w:rsidRPr="00D20592">
        <w:rPr>
          <w:rFonts w:ascii="Arial" w:hAnsi="Arial" w:cs="Arial"/>
          <w:i/>
          <w:iCs/>
          <w:sz w:val="24"/>
          <w:szCs w:val="24"/>
        </w:rPr>
        <w:t>V</w:t>
      </w:r>
      <w:r w:rsidR="00D20592" w:rsidRPr="00D20592">
        <w:rPr>
          <w:rFonts w:ascii="Arial" w:hAnsi="Arial" w:cs="Arial"/>
          <w:sz w:val="24"/>
          <w:szCs w:val="24"/>
          <w:vertAlign w:val="subscript"/>
        </w:rPr>
        <w:t>1</w:t>
      </w:r>
      <w:r w:rsidRPr="0037522D">
        <w:rPr>
          <w:rFonts w:ascii="Arial" w:hAnsi="Arial" w:cs="Arial"/>
          <w:sz w:val="24"/>
          <w:szCs w:val="24"/>
        </w:rPr>
        <w:t xml:space="preserve"> prélevé, par une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solution de permanganate de potassium (K</w:t>
      </w:r>
      <w:r w:rsidRPr="00D20592">
        <w:rPr>
          <w:rFonts w:ascii="Arial" w:hAnsi="Arial" w:cs="Arial"/>
          <w:sz w:val="24"/>
          <w:szCs w:val="24"/>
          <w:vertAlign w:val="superscript"/>
        </w:rPr>
        <w:t>+</w:t>
      </w:r>
      <w:r w:rsidRPr="0037522D">
        <w:rPr>
          <w:rFonts w:ascii="Arial" w:hAnsi="Arial" w:cs="Arial"/>
          <w:sz w:val="24"/>
          <w:szCs w:val="24"/>
        </w:rPr>
        <w:t xml:space="preserve"> (aq),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MnO</w:t>
      </w:r>
      <w:r w:rsidRPr="00D20592">
        <w:rPr>
          <w:rFonts w:ascii="Arial" w:hAnsi="Arial" w:cs="Arial"/>
          <w:sz w:val="24"/>
          <w:szCs w:val="24"/>
          <w:vertAlign w:val="subscript"/>
        </w:rPr>
        <w:t>4</w:t>
      </w:r>
      <w:r w:rsidRPr="00D20592">
        <w:rPr>
          <w:rFonts w:ascii="Arial" w:hAnsi="Arial" w:cs="Arial"/>
          <w:sz w:val="24"/>
          <w:szCs w:val="24"/>
          <w:vertAlign w:val="superscript"/>
        </w:rPr>
        <w:t>−</w:t>
      </w:r>
      <w:r w:rsidRPr="0037522D">
        <w:rPr>
          <w:rFonts w:ascii="Arial" w:hAnsi="Arial" w:cs="Arial"/>
          <w:sz w:val="24"/>
          <w:szCs w:val="24"/>
        </w:rPr>
        <w:t>(aq)) acidifiée de concentration en quantité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de matière d’ions permanganate égale à [MnO</w:t>
      </w:r>
      <w:r w:rsidRPr="00D20592">
        <w:rPr>
          <w:rFonts w:ascii="Arial" w:hAnsi="Arial" w:cs="Arial"/>
          <w:sz w:val="24"/>
          <w:szCs w:val="24"/>
          <w:vertAlign w:val="subscript"/>
        </w:rPr>
        <w:t>4</w:t>
      </w:r>
      <w:r w:rsidRPr="00D20592">
        <w:rPr>
          <w:rFonts w:ascii="Arial" w:hAnsi="Arial" w:cs="Arial"/>
          <w:sz w:val="24"/>
          <w:szCs w:val="24"/>
          <w:vertAlign w:val="superscript"/>
        </w:rPr>
        <w:t>−</w:t>
      </w:r>
      <w:r w:rsidRPr="0037522D">
        <w:rPr>
          <w:rFonts w:ascii="Arial" w:hAnsi="Arial" w:cs="Arial"/>
          <w:sz w:val="24"/>
          <w:szCs w:val="24"/>
        </w:rPr>
        <w:t>]</w:t>
      </w:r>
      <w:r w:rsidR="00D20592">
        <w:rPr>
          <w:rFonts w:ascii="Arial" w:hAnsi="Arial" w:cs="Arial"/>
          <w:sz w:val="24"/>
          <w:szCs w:val="24"/>
          <w:vertAlign w:val="subscript"/>
        </w:rPr>
        <w:t>i</w:t>
      </w:r>
      <w:r w:rsidR="00D20592" w:rsidRPr="00D20592">
        <w:rPr>
          <w:rFonts w:ascii="Cambria Math" w:hAnsi="Cambria Math" w:cs="Cambria Math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= </w:t>
      </w:r>
      <w:r w:rsidRPr="0037522D">
        <w:rPr>
          <w:rFonts w:ascii="Cambria Math" w:hAnsi="Cambria Math" w:cs="Cambria Math"/>
          <w:sz w:val="24"/>
          <w:szCs w:val="24"/>
        </w:rPr>
        <w:t>𝑐</w:t>
      </w:r>
      <w:r w:rsidRPr="00D20592">
        <w:rPr>
          <w:rFonts w:ascii="Arial" w:hAnsi="Arial" w:cs="Arial"/>
          <w:sz w:val="24"/>
          <w:szCs w:val="24"/>
          <w:vertAlign w:val="subscript"/>
        </w:rPr>
        <w:t>0</w:t>
      </w:r>
      <w:r w:rsidRPr="0037522D">
        <w:rPr>
          <w:rFonts w:ascii="Arial" w:hAnsi="Arial" w:cs="Arial"/>
          <w:sz w:val="24"/>
          <w:szCs w:val="24"/>
        </w:rPr>
        <w:t xml:space="preserve"> = (1,00 ± 0,04) × 10</w:t>
      </w:r>
      <w:r w:rsidRPr="00D20592">
        <w:rPr>
          <w:rFonts w:ascii="Arial" w:hAnsi="Arial" w:cs="Arial"/>
          <w:sz w:val="24"/>
          <w:szCs w:val="24"/>
          <w:vertAlign w:val="superscript"/>
        </w:rPr>
        <w:t>−3</w:t>
      </w:r>
      <w:r w:rsidRPr="0037522D">
        <w:rPr>
          <w:rFonts w:ascii="Arial" w:hAnsi="Arial" w:cs="Arial"/>
          <w:sz w:val="24"/>
          <w:szCs w:val="24"/>
        </w:rPr>
        <w:t xml:space="preserve"> mol </w:t>
      </w:r>
      <w:r w:rsidRPr="0037522D">
        <w:rPr>
          <w:rFonts w:ascii="Cambria Math" w:hAnsi="Cambria Math" w:cs="Cambria Math"/>
          <w:sz w:val="24"/>
          <w:szCs w:val="24"/>
        </w:rPr>
        <w:t>⋅</w:t>
      </w:r>
      <w:r w:rsidRPr="0037522D">
        <w:rPr>
          <w:rFonts w:ascii="Arial" w:hAnsi="Arial" w:cs="Arial"/>
          <w:sz w:val="24"/>
          <w:szCs w:val="24"/>
        </w:rPr>
        <w:t xml:space="preserve"> L </w:t>
      </w:r>
      <w:r w:rsidRPr="00D20592">
        <w:rPr>
          <w:rFonts w:ascii="Arial" w:hAnsi="Arial" w:cs="Arial"/>
          <w:sz w:val="24"/>
          <w:szCs w:val="24"/>
          <w:vertAlign w:val="superscript"/>
        </w:rPr>
        <w:t>−1</w:t>
      </w:r>
      <w:r w:rsidRPr="0037522D">
        <w:rPr>
          <w:rFonts w:ascii="Arial" w:hAnsi="Arial" w:cs="Arial"/>
          <w:sz w:val="24"/>
          <w:szCs w:val="24"/>
        </w:rPr>
        <w:t>.</w:t>
      </w:r>
    </w:p>
    <w:p w14:paraId="191CF0C6" w14:textId="1CADCC4D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L’équation de la réaction support du titrage est la suivante</w:t>
      </w:r>
      <w:r w:rsidR="00D20592">
        <w:rPr>
          <w:rFonts w:ascii="Arial" w:hAnsi="Arial" w:cs="Arial"/>
          <w:sz w:val="24"/>
          <w:szCs w:val="24"/>
        </w:rPr>
        <w:t> :</w:t>
      </w:r>
    </w:p>
    <w:p w14:paraId="426880C1" w14:textId="5561B0AF" w:rsidR="0037522D" w:rsidRPr="0037522D" w:rsidRDefault="0037522D" w:rsidP="002674F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 xml:space="preserve">2 </w:t>
      </w:r>
      <w:r w:rsidR="00D20592" w:rsidRPr="0037522D">
        <w:rPr>
          <w:rFonts w:ascii="Arial" w:hAnsi="Arial" w:cs="Arial"/>
          <w:sz w:val="24"/>
          <w:szCs w:val="24"/>
        </w:rPr>
        <w:t>MnO</w:t>
      </w:r>
      <w:r w:rsidR="00D20592" w:rsidRPr="00D20592">
        <w:rPr>
          <w:rFonts w:ascii="Arial" w:hAnsi="Arial" w:cs="Arial"/>
          <w:sz w:val="24"/>
          <w:szCs w:val="24"/>
          <w:vertAlign w:val="subscript"/>
        </w:rPr>
        <w:t>4</w:t>
      </w:r>
      <w:r w:rsidR="00D20592" w:rsidRPr="00D20592">
        <w:rPr>
          <w:rFonts w:ascii="Arial" w:hAnsi="Arial" w:cs="Arial"/>
          <w:sz w:val="24"/>
          <w:szCs w:val="24"/>
          <w:vertAlign w:val="superscript"/>
        </w:rPr>
        <w:t>−</w:t>
      </w:r>
      <w:r w:rsidR="002674F7">
        <w:rPr>
          <w:rFonts w:ascii="Arial" w:hAnsi="Arial" w:cs="Arial"/>
          <w:sz w:val="24"/>
          <w:szCs w:val="24"/>
        </w:rPr>
        <w:t xml:space="preserve"> (a</w:t>
      </w:r>
      <w:r w:rsidRPr="0037522D">
        <w:rPr>
          <w:rFonts w:ascii="Arial" w:hAnsi="Arial" w:cs="Arial"/>
          <w:sz w:val="24"/>
          <w:szCs w:val="24"/>
        </w:rPr>
        <w:t xml:space="preserve">q) 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+ 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6 H</w:t>
      </w:r>
      <w:r w:rsidRPr="00B249DC">
        <w:rPr>
          <w:rFonts w:ascii="Arial" w:hAnsi="Arial" w:cs="Arial"/>
          <w:sz w:val="24"/>
          <w:szCs w:val="24"/>
          <w:vertAlign w:val="superscript"/>
        </w:rPr>
        <w:t>+</w:t>
      </w:r>
      <w:r w:rsidRPr="0037522D">
        <w:rPr>
          <w:rFonts w:ascii="Arial" w:hAnsi="Arial" w:cs="Arial"/>
          <w:sz w:val="24"/>
          <w:szCs w:val="24"/>
        </w:rPr>
        <w:t xml:space="preserve"> (aq)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 +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 5 </w:t>
      </w:r>
      <w:r w:rsidR="00B249DC" w:rsidRPr="0037522D">
        <w:rPr>
          <w:rFonts w:ascii="Arial" w:hAnsi="Arial" w:cs="Arial"/>
          <w:sz w:val="24"/>
          <w:szCs w:val="24"/>
        </w:rPr>
        <w:t>H</w:t>
      </w:r>
      <w:r w:rsidR="00B249DC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B249DC" w:rsidRPr="0037522D">
        <w:rPr>
          <w:rFonts w:ascii="Arial" w:hAnsi="Arial" w:cs="Arial"/>
          <w:sz w:val="24"/>
          <w:szCs w:val="24"/>
        </w:rPr>
        <w:t>O</w:t>
      </w:r>
      <w:r w:rsidR="00B249DC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B249DC" w:rsidRPr="0037522D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(aq) 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→ 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2 Mn</w:t>
      </w:r>
      <w:r w:rsidRPr="00B249DC">
        <w:rPr>
          <w:rFonts w:ascii="Arial" w:hAnsi="Arial" w:cs="Arial"/>
          <w:sz w:val="24"/>
          <w:szCs w:val="24"/>
          <w:vertAlign w:val="superscript"/>
        </w:rPr>
        <w:t>2+</w:t>
      </w:r>
      <w:r w:rsidRPr="0037522D">
        <w:rPr>
          <w:rFonts w:ascii="Arial" w:hAnsi="Arial" w:cs="Arial"/>
          <w:sz w:val="24"/>
          <w:szCs w:val="24"/>
        </w:rPr>
        <w:t xml:space="preserve"> (aq) 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+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 8 </w:t>
      </w:r>
      <w:r w:rsidR="00B249DC" w:rsidRPr="0037522D">
        <w:rPr>
          <w:rFonts w:ascii="Arial" w:hAnsi="Arial" w:cs="Arial"/>
          <w:sz w:val="24"/>
          <w:szCs w:val="24"/>
        </w:rPr>
        <w:t>H</w:t>
      </w:r>
      <w:r w:rsidR="00B249DC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B249DC" w:rsidRPr="0037522D">
        <w:rPr>
          <w:rFonts w:ascii="Arial" w:hAnsi="Arial" w:cs="Arial"/>
          <w:sz w:val="24"/>
          <w:szCs w:val="24"/>
        </w:rPr>
        <w:t xml:space="preserve">O </w:t>
      </w:r>
      <w:r w:rsidRPr="0037522D">
        <w:rPr>
          <w:rFonts w:ascii="Arial" w:hAnsi="Arial" w:cs="Arial"/>
          <w:sz w:val="24"/>
          <w:szCs w:val="24"/>
        </w:rPr>
        <w:t xml:space="preserve">(l) 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+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 xml:space="preserve"> 5 </w:t>
      </w:r>
      <w:r w:rsidR="00B249DC" w:rsidRPr="0037522D">
        <w:rPr>
          <w:rFonts w:ascii="Arial" w:hAnsi="Arial" w:cs="Arial"/>
          <w:sz w:val="24"/>
          <w:szCs w:val="24"/>
        </w:rPr>
        <w:t>O</w:t>
      </w:r>
      <w:r w:rsidR="00B249DC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B249DC" w:rsidRPr="0037522D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(g)</w:t>
      </w:r>
    </w:p>
    <w:p w14:paraId="3E20353E" w14:textId="7B11E5CD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 xml:space="preserve">Lors de ce titrage colorimétrique, le volume obtenu à l’équivalence est de </w:t>
      </w:r>
      <w:r w:rsidR="00B249DC" w:rsidRPr="00D20592">
        <w:rPr>
          <w:rFonts w:ascii="Arial" w:hAnsi="Arial" w:cs="Arial"/>
          <w:i/>
          <w:iCs/>
          <w:sz w:val="24"/>
          <w:szCs w:val="24"/>
        </w:rPr>
        <w:t>V</w:t>
      </w:r>
      <w:r w:rsidR="00B249DC" w:rsidRPr="002674F7">
        <w:rPr>
          <w:rFonts w:ascii="Arial" w:hAnsi="Arial" w:cs="Arial"/>
          <w:i/>
          <w:iCs/>
          <w:sz w:val="24"/>
          <w:szCs w:val="24"/>
          <w:vertAlign w:val="subscript"/>
        </w:rPr>
        <w:t>éq</w:t>
      </w:r>
      <w:r w:rsidR="00B249DC">
        <w:rPr>
          <w:rFonts w:ascii="Arial" w:hAnsi="Arial" w:cs="Arial"/>
          <w:sz w:val="24"/>
          <w:szCs w:val="24"/>
        </w:rPr>
        <w:t xml:space="preserve"> =</w:t>
      </w:r>
      <w:r w:rsidRPr="0037522D">
        <w:rPr>
          <w:rFonts w:ascii="Arial" w:hAnsi="Arial" w:cs="Arial"/>
          <w:sz w:val="24"/>
          <w:szCs w:val="24"/>
        </w:rPr>
        <w:t xml:space="preserve"> (6,60 ± 0,05) mL.</w:t>
      </w:r>
    </w:p>
    <w:p w14:paraId="74A77026" w14:textId="13F5C009" w:rsid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 xml:space="preserve">L’incertitude type </w:t>
      </w:r>
      <w:r w:rsidR="00B249DC" w:rsidRPr="00B249DC">
        <w:rPr>
          <w:rFonts w:ascii="Arial" w:hAnsi="Arial" w:cs="Arial"/>
          <w:i/>
          <w:iCs/>
          <w:sz w:val="24"/>
          <w:szCs w:val="24"/>
        </w:rPr>
        <w:t>u</w:t>
      </w:r>
      <w:r w:rsidR="00B249DC">
        <w:rPr>
          <w:rFonts w:ascii="Arial" w:hAnsi="Arial" w:cs="Arial"/>
          <w:sz w:val="24"/>
          <w:szCs w:val="24"/>
        </w:rPr>
        <w:t>(</w:t>
      </w:r>
      <w:r w:rsidR="00B249DC" w:rsidRPr="0037522D">
        <w:rPr>
          <w:rFonts w:ascii="Cambria Math" w:hAnsi="Cambria Math" w:cs="Cambria Math"/>
          <w:sz w:val="24"/>
          <w:szCs w:val="24"/>
        </w:rPr>
        <w:t>𝑐</w:t>
      </w:r>
      <w:r w:rsidR="00B249DC" w:rsidRPr="00D20592">
        <w:rPr>
          <w:rFonts w:ascii="Arial" w:hAnsi="Arial" w:cs="Arial"/>
          <w:sz w:val="24"/>
          <w:szCs w:val="24"/>
          <w:vertAlign w:val="subscript"/>
        </w:rPr>
        <w:t>1</w:t>
      </w:r>
      <w:r w:rsidR="00B249DC">
        <w:rPr>
          <w:rFonts w:ascii="Arial" w:hAnsi="Arial" w:cs="Arial"/>
          <w:sz w:val="24"/>
          <w:szCs w:val="24"/>
        </w:rPr>
        <w:t>)</w:t>
      </w:r>
      <w:r w:rsidRPr="0037522D">
        <w:rPr>
          <w:rFonts w:ascii="Arial" w:hAnsi="Arial" w:cs="Arial"/>
          <w:sz w:val="24"/>
          <w:szCs w:val="24"/>
        </w:rPr>
        <w:t xml:space="preserve"> sur la concentration </w:t>
      </w:r>
      <w:r w:rsidR="00B249DC" w:rsidRPr="0037522D">
        <w:rPr>
          <w:rFonts w:ascii="Cambria Math" w:hAnsi="Cambria Math" w:cs="Cambria Math"/>
          <w:sz w:val="24"/>
          <w:szCs w:val="24"/>
        </w:rPr>
        <w:t>𝑐</w:t>
      </w:r>
      <w:r w:rsidR="00B249DC" w:rsidRPr="00D20592">
        <w:rPr>
          <w:rFonts w:ascii="Arial" w:hAnsi="Arial" w:cs="Arial"/>
          <w:sz w:val="24"/>
          <w:szCs w:val="24"/>
          <w:vertAlign w:val="subscript"/>
        </w:rPr>
        <w:t>1</w:t>
      </w:r>
      <w:r w:rsidRPr="0037522D">
        <w:rPr>
          <w:rFonts w:ascii="Arial" w:hAnsi="Arial" w:cs="Arial"/>
          <w:sz w:val="24"/>
          <w:szCs w:val="24"/>
        </w:rPr>
        <w:t xml:space="preserve"> se calcule à l’aide de la formule</w:t>
      </w:r>
      <w:r w:rsidR="00B249DC">
        <w:rPr>
          <w:rFonts w:ascii="Arial" w:hAnsi="Arial" w:cs="Arial"/>
          <w:sz w:val="24"/>
          <w:szCs w:val="24"/>
        </w:rPr>
        <w:t> :</w:t>
      </w:r>
    </w:p>
    <w:p w14:paraId="55D4D0B7" w14:textId="471BE47D" w:rsidR="00B249DC" w:rsidRPr="00393785" w:rsidRDefault="00B249DC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vertAlign w:val="subscript"/>
            </w:rPr>
            <m:t>)=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Cambria Math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éq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éq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Cs/>
                              <w:sz w:val="24"/>
                              <w:szCs w:val="24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</m:e>
          </m:rad>
        </m:oMath>
      </m:oMathPara>
    </w:p>
    <w:p w14:paraId="4C9ECC31" w14:textId="77777777" w:rsidR="00B249DC" w:rsidRDefault="00B249DC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F097C" w14:textId="448695F8" w:rsid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22D">
        <w:rPr>
          <w:rFonts w:ascii="Arial" w:hAnsi="Arial" w:cs="Arial"/>
          <w:sz w:val="24"/>
          <w:szCs w:val="24"/>
        </w:rPr>
        <w:t>Couleur des espèces chimiques en solution</w:t>
      </w:r>
      <w:r w:rsidR="00B249DC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B249DC" w:rsidRPr="00B249DC" w14:paraId="4E28EC70" w14:textId="77777777" w:rsidTr="002674F7">
        <w:trPr>
          <w:trHeight w:val="667"/>
          <w:jc w:val="center"/>
        </w:trPr>
        <w:tc>
          <w:tcPr>
            <w:tcW w:w="2549" w:type="dxa"/>
            <w:vAlign w:val="center"/>
          </w:tcPr>
          <w:p w14:paraId="69C74306" w14:textId="1C631BD1" w:rsid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permanganate</w:t>
            </w:r>
          </w:p>
          <w:p w14:paraId="200096C4" w14:textId="564BA3AC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22D">
              <w:rPr>
                <w:rFonts w:ascii="Arial" w:hAnsi="Arial" w:cs="Arial"/>
                <w:sz w:val="24"/>
                <w:szCs w:val="24"/>
              </w:rPr>
              <w:t>MnO</w:t>
            </w:r>
            <w:r w:rsidRPr="00D20592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D20592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</w:p>
        </w:tc>
        <w:tc>
          <w:tcPr>
            <w:tcW w:w="2550" w:type="dxa"/>
            <w:vAlign w:val="center"/>
          </w:tcPr>
          <w:p w14:paraId="430C51F8" w14:textId="22BA8A79" w:rsid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hydrogène</w:t>
            </w:r>
          </w:p>
          <w:p w14:paraId="51A4A762" w14:textId="02F47327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549" w:type="dxa"/>
            <w:vAlign w:val="center"/>
          </w:tcPr>
          <w:p w14:paraId="4C420698" w14:textId="77777777" w:rsid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7522D">
              <w:rPr>
                <w:rFonts w:ascii="Arial" w:hAnsi="Arial" w:cs="Arial"/>
                <w:sz w:val="24"/>
                <w:szCs w:val="24"/>
              </w:rPr>
              <w:t>eroxyde d’oxygène</w:t>
            </w:r>
          </w:p>
          <w:p w14:paraId="34B62DB3" w14:textId="1C03CE16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22D">
              <w:rPr>
                <w:rFonts w:ascii="Arial" w:hAnsi="Arial" w:cs="Arial"/>
                <w:sz w:val="24"/>
                <w:szCs w:val="24"/>
              </w:rPr>
              <w:t>H</w:t>
            </w:r>
            <w:r w:rsidRPr="00D2059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37522D">
              <w:rPr>
                <w:rFonts w:ascii="Arial" w:hAnsi="Arial" w:cs="Arial"/>
                <w:sz w:val="24"/>
                <w:szCs w:val="24"/>
              </w:rPr>
              <w:t>O</w:t>
            </w:r>
            <w:r w:rsidRPr="00D2059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0" w:type="dxa"/>
            <w:vAlign w:val="center"/>
          </w:tcPr>
          <w:p w14:paraId="760853DD" w14:textId="42F49762" w:rsid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manganèse</w:t>
            </w:r>
          </w:p>
          <w:p w14:paraId="4C03F05D" w14:textId="12B5C51C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22D">
              <w:rPr>
                <w:rFonts w:ascii="Arial" w:hAnsi="Arial" w:cs="Arial"/>
                <w:sz w:val="24"/>
                <w:szCs w:val="24"/>
              </w:rPr>
              <w:t>Mn</w:t>
            </w:r>
            <w:r w:rsidRPr="00B249DC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</w:p>
        </w:tc>
      </w:tr>
      <w:tr w:rsidR="00B249DC" w:rsidRPr="00B249DC" w14:paraId="550EA599" w14:textId="77777777" w:rsidTr="00B249DC">
        <w:trPr>
          <w:trHeight w:val="340"/>
          <w:jc w:val="center"/>
        </w:trPr>
        <w:tc>
          <w:tcPr>
            <w:tcW w:w="2549" w:type="dxa"/>
            <w:vAlign w:val="center"/>
          </w:tcPr>
          <w:p w14:paraId="13035790" w14:textId="7AB9DD6B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Violette</w:t>
            </w:r>
          </w:p>
        </w:tc>
        <w:tc>
          <w:tcPr>
            <w:tcW w:w="2550" w:type="dxa"/>
            <w:vAlign w:val="center"/>
          </w:tcPr>
          <w:p w14:paraId="0242DEBF" w14:textId="5EF5E4FC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Incolore</w:t>
            </w:r>
          </w:p>
        </w:tc>
        <w:tc>
          <w:tcPr>
            <w:tcW w:w="2549" w:type="dxa"/>
            <w:vAlign w:val="center"/>
          </w:tcPr>
          <w:p w14:paraId="5A67F809" w14:textId="0199A98B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Incolore</w:t>
            </w:r>
          </w:p>
        </w:tc>
        <w:tc>
          <w:tcPr>
            <w:tcW w:w="2550" w:type="dxa"/>
            <w:vAlign w:val="center"/>
          </w:tcPr>
          <w:p w14:paraId="61A36961" w14:textId="4AE5303A" w:rsidR="00B249DC" w:rsidRPr="00B249DC" w:rsidRDefault="00B249DC" w:rsidP="00B2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Incolore</w:t>
            </w:r>
          </w:p>
        </w:tc>
      </w:tr>
    </w:tbl>
    <w:p w14:paraId="604BCFA9" w14:textId="77777777" w:rsidR="0037522D" w:rsidRDefault="0037522D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29B0" w14:textId="3AE7741D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A.1</w:t>
      </w:r>
      <w:r w:rsidR="00B249DC">
        <w:rPr>
          <w:rFonts w:ascii="Arial" w:hAnsi="Arial" w:cs="Arial"/>
          <w:sz w:val="24"/>
          <w:szCs w:val="24"/>
        </w:rPr>
        <w:tab/>
      </w:r>
      <w:r w:rsidRPr="0037522D">
        <w:rPr>
          <w:rFonts w:ascii="Arial" w:hAnsi="Arial" w:cs="Arial"/>
          <w:sz w:val="24"/>
          <w:szCs w:val="24"/>
        </w:rPr>
        <w:t>Faire la liste du matériel nécessaire pour réaliser le titrage.</w:t>
      </w:r>
    </w:p>
    <w:p w14:paraId="6DDC3409" w14:textId="597D8987" w:rsidR="0037522D" w:rsidRPr="0037522D" w:rsidRDefault="0037522D" w:rsidP="0026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A.2</w:t>
      </w:r>
      <w:r w:rsidR="00B249DC">
        <w:rPr>
          <w:rFonts w:ascii="Arial" w:hAnsi="Arial" w:cs="Arial"/>
          <w:sz w:val="24"/>
          <w:szCs w:val="24"/>
        </w:rPr>
        <w:tab/>
      </w:r>
      <w:r w:rsidRPr="0037522D">
        <w:rPr>
          <w:rFonts w:ascii="Arial" w:hAnsi="Arial" w:cs="Arial"/>
          <w:sz w:val="24"/>
          <w:szCs w:val="24"/>
        </w:rPr>
        <w:t>Écrire les demi-équations électroniques mises en jeu lors du titrage permettant de retrouver</w:t>
      </w:r>
      <w:r w:rsidR="00B249DC">
        <w:rPr>
          <w:rFonts w:ascii="Arial" w:hAnsi="Arial" w:cs="Arial"/>
          <w:sz w:val="24"/>
          <w:szCs w:val="24"/>
        </w:rPr>
        <w:t xml:space="preserve"> </w:t>
      </w:r>
      <w:r w:rsidRPr="0037522D">
        <w:rPr>
          <w:rFonts w:ascii="Arial" w:hAnsi="Arial" w:cs="Arial"/>
          <w:sz w:val="24"/>
          <w:szCs w:val="24"/>
        </w:rPr>
        <w:t>l’équation de la réaction d’oxydo-réduction support du titrage.</w:t>
      </w:r>
    </w:p>
    <w:p w14:paraId="26AA3317" w14:textId="540620E5" w:rsidR="0037522D" w:rsidRDefault="0037522D" w:rsidP="002674F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A.3</w:t>
      </w:r>
      <w:r w:rsidR="00B249DC">
        <w:rPr>
          <w:rFonts w:ascii="Arial" w:hAnsi="Arial" w:cs="Arial"/>
          <w:sz w:val="24"/>
          <w:szCs w:val="24"/>
        </w:rPr>
        <w:tab/>
      </w:r>
      <w:r w:rsidRPr="0037522D">
        <w:rPr>
          <w:rFonts w:ascii="Arial" w:hAnsi="Arial" w:cs="Arial"/>
          <w:sz w:val="24"/>
          <w:szCs w:val="24"/>
        </w:rPr>
        <w:t>Définir l’équivalence du titrage et indiquer comment la repérer expérimentalement.</w:t>
      </w:r>
    </w:p>
    <w:p w14:paraId="6B8B3718" w14:textId="77777777" w:rsidR="0037522D" w:rsidRDefault="0037522D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BCB40" w14:textId="77777777" w:rsidR="0037522D" w:rsidRDefault="0037522D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9E91F" w14:textId="56CD7559" w:rsidR="0037522D" w:rsidRDefault="0037522D" w:rsidP="00D205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A739F5" w14:textId="2702CC47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lastRenderedPageBreak/>
        <w:t>A.4</w:t>
      </w:r>
      <w:r w:rsidR="008E38DA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 xml:space="preserve">Déterminer la valeur de la concentration </w:t>
      </w:r>
      <w:r w:rsidR="002674F7" w:rsidRPr="0037522D">
        <w:rPr>
          <w:rFonts w:ascii="Cambria Math" w:hAnsi="Cambria Math" w:cs="Cambria Math"/>
          <w:sz w:val="24"/>
          <w:szCs w:val="24"/>
        </w:rPr>
        <w:t>𝑐</w:t>
      </w:r>
      <w:r w:rsidR="002674F7" w:rsidRPr="00D20592">
        <w:rPr>
          <w:rFonts w:ascii="Arial" w:hAnsi="Arial" w:cs="Arial"/>
          <w:sz w:val="24"/>
          <w:szCs w:val="24"/>
          <w:vertAlign w:val="subscript"/>
        </w:rPr>
        <w:t>1</w:t>
      </w:r>
      <w:r w:rsidRPr="00D20592">
        <w:rPr>
          <w:rFonts w:ascii="Arial" w:hAnsi="Arial" w:cs="Arial"/>
          <w:sz w:val="24"/>
          <w:szCs w:val="24"/>
        </w:rPr>
        <w:t xml:space="preserve"> et de son incertitude type associée </w:t>
      </w:r>
      <w:r w:rsidR="002674F7" w:rsidRPr="002674F7">
        <w:rPr>
          <w:rFonts w:ascii="Arial" w:hAnsi="Arial" w:cs="Arial"/>
          <w:i/>
          <w:iCs/>
          <w:sz w:val="24"/>
          <w:szCs w:val="24"/>
        </w:rPr>
        <w:t>u</w:t>
      </w:r>
      <w:r w:rsidRPr="00D20592">
        <w:rPr>
          <w:rFonts w:ascii="Arial" w:hAnsi="Arial" w:cs="Arial"/>
          <w:sz w:val="24"/>
          <w:szCs w:val="24"/>
        </w:rPr>
        <w:t>(</w:t>
      </w:r>
      <w:r w:rsidR="002674F7" w:rsidRPr="0037522D">
        <w:rPr>
          <w:rFonts w:ascii="Cambria Math" w:hAnsi="Cambria Math" w:cs="Cambria Math"/>
          <w:sz w:val="24"/>
          <w:szCs w:val="24"/>
        </w:rPr>
        <w:t>𝑐</w:t>
      </w:r>
      <w:r w:rsidR="002674F7" w:rsidRPr="00D20592">
        <w:rPr>
          <w:rFonts w:ascii="Arial" w:hAnsi="Arial" w:cs="Arial"/>
          <w:sz w:val="24"/>
          <w:szCs w:val="24"/>
          <w:vertAlign w:val="subscript"/>
        </w:rPr>
        <w:t>1</w:t>
      </w:r>
      <w:r w:rsidRPr="00D20592">
        <w:rPr>
          <w:rFonts w:ascii="Arial" w:hAnsi="Arial" w:cs="Arial"/>
          <w:sz w:val="24"/>
          <w:szCs w:val="24"/>
        </w:rPr>
        <w:t>).</w:t>
      </w:r>
    </w:p>
    <w:p w14:paraId="24674DDD" w14:textId="698C58B9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A.5</w:t>
      </w:r>
      <w:r w:rsidR="008E38DA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Indiquer quelle norme, 1 ou 2, l’éleveur a suivi.</w:t>
      </w:r>
    </w:p>
    <w:p w14:paraId="4CAFDE84" w14:textId="0F604BF9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Le fabricant préconise de placer le bidon d’OXYDOSANE, une fois ouvert, dans un endroit sombre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et frais. Il peut ainsi être conservé pendant un mois. Passé ce délai, la désinfection n’est plus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garantie.</w:t>
      </w:r>
    </w:p>
    <w:p w14:paraId="11F84087" w14:textId="521B6F47" w:rsid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A.6</w:t>
      </w:r>
      <w:r w:rsidR="008E38DA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Justifier le mode de conservation.</w:t>
      </w:r>
    </w:p>
    <w:p w14:paraId="6CFF4EE6" w14:textId="77777777" w:rsidR="002674F7" w:rsidRPr="00D20592" w:rsidRDefault="002674F7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BD034F6" w14:textId="792E6088" w:rsidR="00D20592" w:rsidRPr="002674F7" w:rsidRDefault="00D20592" w:rsidP="008E38DA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74F7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="002674F7" w:rsidRPr="002674F7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2674F7">
        <w:rPr>
          <w:rFonts w:ascii="Arial" w:hAnsi="Arial" w:cs="Arial"/>
          <w:b/>
          <w:bCs/>
          <w:sz w:val="24"/>
          <w:szCs w:val="24"/>
          <w:u w:val="single"/>
        </w:rPr>
        <w:t xml:space="preserve"> Le traitement de l’eau de boisson des poules d’un particulier</w:t>
      </w:r>
    </w:p>
    <w:p w14:paraId="3D2D05E2" w14:textId="4633737E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Un particulier possédant des poules doit aussi acidifier l’eau de boisson pour le bien-être et la bonne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 xml:space="preserve">santé de ses poules. Le </w:t>
      </w:r>
      <w:r w:rsidR="002674F7" w:rsidRPr="002674F7">
        <w:rPr>
          <w:rFonts w:ascii="Arial" w:hAnsi="Arial" w:cs="Arial"/>
          <w:i/>
          <w:iCs/>
          <w:sz w:val="24"/>
          <w:szCs w:val="24"/>
        </w:rPr>
        <w:t>pH</w:t>
      </w:r>
      <w:r w:rsidRPr="00D20592">
        <w:rPr>
          <w:rFonts w:ascii="Arial" w:hAnsi="Arial" w:cs="Arial"/>
          <w:sz w:val="24"/>
          <w:szCs w:val="24"/>
        </w:rPr>
        <w:t xml:space="preserve"> de cette eau doit être de 6 environ. Pour cela, il dilue du vinaigre dans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de l’eau et obtient ainsi une solution aqueuse d’acide acétique de concentration en quantité de</w:t>
      </w:r>
      <w:r w:rsidR="002674F7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 xml:space="preserve">matière </w:t>
      </w:r>
      <w:r w:rsidR="002674F7" w:rsidRPr="0037522D">
        <w:rPr>
          <w:rFonts w:ascii="Cambria Math" w:hAnsi="Cambria Math" w:cs="Cambria Math"/>
          <w:sz w:val="24"/>
          <w:szCs w:val="24"/>
        </w:rPr>
        <w:t>𝑐</w:t>
      </w:r>
      <w:r w:rsidR="002674F7">
        <w:rPr>
          <w:rFonts w:ascii="Arial" w:hAnsi="Arial" w:cs="Arial"/>
          <w:sz w:val="24"/>
          <w:szCs w:val="24"/>
          <w:vertAlign w:val="subscript"/>
        </w:rPr>
        <w:t>3</w:t>
      </w:r>
      <w:r w:rsidRPr="00D20592">
        <w:rPr>
          <w:rFonts w:ascii="Arial" w:hAnsi="Arial" w:cs="Arial"/>
          <w:sz w:val="24"/>
          <w:szCs w:val="24"/>
        </w:rPr>
        <w:t xml:space="preserve"> = 1,60 × 10</w:t>
      </w:r>
      <w:r w:rsidRPr="002674F7">
        <w:rPr>
          <w:rFonts w:ascii="Arial" w:hAnsi="Arial" w:cs="Arial"/>
          <w:sz w:val="24"/>
          <w:szCs w:val="24"/>
          <w:vertAlign w:val="superscript"/>
        </w:rPr>
        <w:t>−3</w:t>
      </w:r>
      <w:r w:rsidRPr="00D20592">
        <w:rPr>
          <w:rFonts w:ascii="Arial" w:hAnsi="Arial" w:cs="Arial"/>
          <w:sz w:val="24"/>
          <w:szCs w:val="24"/>
        </w:rPr>
        <w:t xml:space="preserve"> mol </w:t>
      </w:r>
      <w:r w:rsidRPr="00D20592">
        <w:rPr>
          <w:rFonts w:ascii="Cambria Math" w:hAnsi="Cambria Math" w:cs="Cambria Math"/>
          <w:sz w:val="24"/>
          <w:szCs w:val="24"/>
        </w:rPr>
        <w:t>⋅</w:t>
      </w:r>
      <w:r w:rsidRPr="00D20592">
        <w:rPr>
          <w:rFonts w:ascii="Arial" w:hAnsi="Arial" w:cs="Arial"/>
          <w:sz w:val="24"/>
          <w:szCs w:val="24"/>
        </w:rPr>
        <w:t xml:space="preserve"> L</w:t>
      </w:r>
      <w:r w:rsidRPr="002674F7">
        <w:rPr>
          <w:rFonts w:ascii="Arial" w:hAnsi="Arial" w:cs="Arial"/>
          <w:sz w:val="24"/>
          <w:szCs w:val="24"/>
          <w:vertAlign w:val="superscript"/>
        </w:rPr>
        <w:t>−1</w:t>
      </w:r>
      <w:r w:rsidRPr="00D20592">
        <w:rPr>
          <w:rFonts w:ascii="Arial" w:hAnsi="Arial" w:cs="Arial"/>
          <w:sz w:val="24"/>
          <w:szCs w:val="24"/>
        </w:rPr>
        <w:t>.</w:t>
      </w:r>
    </w:p>
    <w:p w14:paraId="034795FB" w14:textId="77777777" w:rsidR="00D20592" w:rsidRPr="002674F7" w:rsidRDefault="00D20592" w:rsidP="008E38DA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74F7">
        <w:rPr>
          <w:rFonts w:ascii="Arial" w:hAnsi="Arial" w:cs="Arial"/>
          <w:b/>
          <w:bCs/>
          <w:sz w:val="24"/>
          <w:szCs w:val="24"/>
          <w:u w:val="single"/>
        </w:rPr>
        <w:t>B.1. Étude de la formule de la molécule d’acide acétique</w:t>
      </w:r>
    </w:p>
    <w:p w14:paraId="6C5180B8" w14:textId="77777777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B.1.1</w:t>
      </w:r>
      <w:r w:rsidRPr="00D20592">
        <w:rPr>
          <w:rFonts w:ascii="Arial" w:hAnsi="Arial" w:cs="Arial"/>
          <w:sz w:val="24"/>
          <w:szCs w:val="24"/>
        </w:rPr>
        <w:t xml:space="preserve"> Écrire la formule topologique de l’acide acétique.</w:t>
      </w:r>
    </w:p>
    <w:p w14:paraId="0DC3F814" w14:textId="77777777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B.1.2</w:t>
      </w:r>
      <w:r w:rsidRPr="00D20592">
        <w:rPr>
          <w:rFonts w:ascii="Arial" w:hAnsi="Arial" w:cs="Arial"/>
          <w:sz w:val="24"/>
          <w:szCs w:val="24"/>
        </w:rPr>
        <w:t xml:space="preserve"> Entourer le groupe fonctionnel et nommer la famille à laquelle il appartient.</w:t>
      </w:r>
    </w:p>
    <w:p w14:paraId="3210CA98" w14:textId="77777777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B.1.3</w:t>
      </w:r>
      <w:r w:rsidRPr="00D20592">
        <w:rPr>
          <w:rFonts w:ascii="Arial" w:hAnsi="Arial" w:cs="Arial"/>
          <w:sz w:val="24"/>
          <w:szCs w:val="24"/>
        </w:rPr>
        <w:t xml:space="preserve"> Donner le nom de l’acide acétique dans la nomenclature internationale.</w:t>
      </w:r>
    </w:p>
    <w:p w14:paraId="4938ECF4" w14:textId="77777777" w:rsidR="00D20592" w:rsidRPr="002674F7" w:rsidRDefault="00D20592" w:rsidP="008E38DA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74F7">
        <w:rPr>
          <w:rFonts w:ascii="Arial" w:hAnsi="Arial" w:cs="Arial"/>
          <w:b/>
          <w:bCs/>
          <w:sz w:val="24"/>
          <w:szCs w:val="24"/>
          <w:u w:val="single"/>
        </w:rPr>
        <w:t>B.2. L’acide acétique en solution</w:t>
      </w:r>
    </w:p>
    <w:p w14:paraId="6AE700E7" w14:textId="1DD78987" w:rsid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0592">
        <w:rPr>
          <w:rFonts w:ascii="Arial" w:hAnsi="Arial" w:cs="Arial"/>
          <w:sz w:val="24"/>
          <w:szCs w:val="24"/>
        </w:rPr>
        <w:t>L’équation de la réaction modélisant la transformation chimique entre l’acide acétique et l’eau</w:t>
      </w:r>
      <w:r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s’écrit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215FE93F" w14:textId="05D033A9" w:rsidR="00D20592" w:rsidRPr="003B14C9" w:rsidRDefault="002674F7" w:rsidP="008E38D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20592">
        <w:rPr>
          <w:rFonts w:ascii="Arial" w:hAnsi="Arial" w:cs="Arial"/>
          <w:sz w:val="24"/>
          <w:szCs w:val="24"/>
          <w:vertAlign w:val="subscript"/>
        </w:rPr>
        <w:t>2</w:t>
      </w:r>
      <w:r w:rsidRPr="0037522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37522D">
        <w:rPr>
          <w:rFonts w:ascii="Arial" w:hAnsi="Arial" w:cs="Arial"/>
          <w:sz w:val="24"/>
          <w:szCs w:val="24"/>
        </w:rPr>
        <w:t>O</w:t>
      </w:r>
      <w:r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="00D20592" w:rsidRPr="003B14C9">
        <w:rPr>
          <w:rFonts w:ascii="Arial" w:hAnsi="Arial" w:cs="Arial"/>
          <w:sz w:val="24"/>
          <w:szCs w:val="24"/>
        </w:rPr>
        <w:t xml:space="preserve">(aq) </w:t>
      </w:r>
      <w:r>
        <w:rPr>
          <w:rFonts w:ascii="Arial" w:hAnsi="Arial" w:cs="Arial"/>
          <w:sz w:val="24"/>
          <w:szCs w:val="24"/>
        </w:rPr>
        <w:t xml:space="preserve">  </w:t>
      </w:r>
      <w:r w:rsidR="00D20592" w:rsidRPr="003B14C9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  </w:t>
      </w:r>
      <w:r w:rsidR="00D20592" w:rsidRPr="003B14C9">
        <w:rPr>
          <w:rFonts w:ascii="Arial" w:hAnsi="Arial" w:cs="Arial"/>
          <w:sz w:val="24"/>
          <w:szCs w:val="24"/>
        </w:rPr>
        <w:t>H</w:t>
      </w:r>
      <w:r w:rsidR="00D20592" w:rsidRPr="001535DF">
        <w:rPr>
          <w:rFonts w:ascii="Arial" w:hAnsi="Arial" w:cs="Arial"/>
          <w:sz w:val="24"/>
          <w:szCs w:val="24"/>
          <w:vertAlign w:val="subscript"/>
        </w:rPr>
        <w:t>2</w:t>
      </w:r>
      <w:r w:rsidR="00D20592" w:rsidRPr="003B14C9">
        <w:rPr>
          <w:rFonts w:ascii="Arial" w:hAnsi="Arial" w:cs="Arial"/>
          <w:sz w:val="24"/>
          <w:szCs w:val="24"/>
        </w:rPr>
        <w:t>O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="00D20592" w:rsidRPr="003B14C9">
        <w:rPr>
          <w:rFonts w:ascii="Arial" w:hAnsi="Arial" w:cs="Arial"/>
          <w:sz w:val="24"/>
          <w:szCs w:val="24"/>
        </w:rPr>
        <w:t>(l)</w:t>
      </w:r>
      <w:r>
        <w:rPr>
          <w:rFonts w:ascii="Arial" w:hAnsi="Arial" w:cs="Arial"/>
          <w:sz w:val="24"/>
          <w:szCs w:val="24"/>
        </w:rPr>
        <w:t xml:space="preserve">  </w:t>
      </w:r>
      <w:r w:rsidR="00D20592" w:rsidRPr="003B14C9">
        <w:rPr>
          <w:rFonts w:ascii="Arial" w:hAnsi="Arial" w:cs="Arial"/>
          <w:sz w:val="24"/>
          <w:szCs w:val="24"/>
        </w:rPr>
        <w:t xml:space="preserve"> </w:t>
      </w:r>
      <w:r w:rsidR="00D20592" w:rsidRPr="003B14C9">
        <w:rPr>
          <w:rFonts w:ascii="Cambria Math" w:hAnsi="Cambria Math" w:cs="Cambria Math"/>
          <w:sz w:val="24"/>
          <w:szCs w:val="24"/>
        </w:rPr>
        <w:t>⇄</w:t>
      </w:r>
      <w:r w:rsidR="00D20592" w:rsidRPr="003B1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C</w:t>
      </w:r>
      <w:r w:rsidRPr="00D20592">
        <w:rPr>
          <w:rFonts w:ascii="Arial" w:hAnsi="Arial" w:cs="Arial"/>
          <w:sz w:val="24"/>
          <w:szCs w:val="24"/>
          <w:vertAlign w:val="subscript"/>
        </w:rPr>
        <w:t>2</w:t>
      </w:r>
      <w:r w:rsidRPr="0037522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37522D">
        <w:rPr>
          <w:rFonts w:ascii="Arial" w:hAnsi="Arial" w:cs="Arial"/>
          <w:sz w:val="24"/>
          <w:szCs w:val="24"/>
        </w:rPr>
        <w:t>O</w:t>
      </w:r>
      <w:r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D20592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D20592" w:rsidRPr="003B14C9">
        <w:rPr>
          <w:rFonts w:ascii="Arial" w:hAnsi="Arial" w:cs="Arial"/>
          <w:sz w:val="24"/>
          <w:szCs w:val="24"/>
        </w:rPr>
        <w:t xml:space="preserve"> (aq) </w:t>
      </w:r>
      <w:r>
        <w:rPr>
          <w:rFonts w:ascii="Arial" w:hAnsi="Arial" w:cs="Arial"/>
          <w:sz w:val="24"/>
          <w:szCs w:val="24"/>
        </w:rPr>
        <w:t xml:space="preserve">  </w:t>
      </w:r>
      <w:r w:rsidR="00D20592" w:rsidRPr="003B14C9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  </w:t>
      </w:r>
      <w:r w:rsidR="00D20592" w:rsidRPr="003B14C9">
        <w:rPr>
          <w:rFonts w:ascii="Arial" w:hAnsi="Arial" w:cs="Arial"/>
          <w:sz w:val="24"/>
          <w:szCs w:val="24"/>
        </w:rPr>
        <w:t>H</w:t>
      </w:r>
      <w:r w:rsidR="00D20592" w:rsidRPr="001535DF">
        <w:rPr>
          <w:rFonts w:ascii="Arial" w:hAnsi="Arial" w:cs="Arial"/>
          <w:sz w:val="24"/>
          <w:szCs w:val="24"/>
          <w:vertAlign w:val="subscript"/>
        </w:rPr>
        <w:t>3</w:t>
      </w:r>
      <w:r w:rsidR="00D20592" w:rsidRPr="003B14C9">
        <w:rPr>
          <w:rFonts w:ascii="Arial" w:hAnsi="Arial" w:cs="Arial"/>
          <w:sz w:val="24"/>
          <w:szCs w:val="24"/>
        </w:rPr>
        <w:t>O</w:t>
      </w:r>
      <w:r w:rsidR="00D20592" w:rsidRPr="001535DF">
        <w:rPr>
          <w:rFonts w:ascii="Arial" w:hAnsi="Arial" w:cs="Arial"/>
          <w:sz w:val="24"/>
          <w:szCs w:val="24"/>
          <w:vertAlign w:val="superscript"/>
        </w:rPr>
        <w:t>+</w:t>
      </w:r>
      <w:r w:rsidR="00D20592">
        <w:rPr>
          <w:rFonts w:ascii="Arial" w:hAnsi="Arial" w:cs="Arial"/>
          <w:sz w:val="24"/>
          <w:szCs w:val="24"/>
        </w:rPr>
        <w:t xml:space="preserve"> </w:t>
      </w:r>
      <w:r w:rsidR="00D20592" w:rsidRPr="003B14C9">
        <w:rPr>
          <w:rFonts w:ascii="Arial" w:hAnsi="Arial" w:cs="Arial"/>
          <w:sz w:val="24"/>
          <w:szCs w:val="24"/>
        </w:rPr>
        <w:t>(aq)</w:t>
      </w:r>
    </w:p>
    <w:p w14:paraId="49088109" w14:textId="5E7CF90F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B.2.1</w:t>
      </w:r>
      <w:r w:rsidRPr="00D20592">
        <w:rPr>
          <w:rFonts w:ascii="Arial" w:hAnsi="Arial" w:cs="Arial"/>
          <w:sz w:val="24"/>
          <w:szCs w:val="24"/>
        </w:rPr>
        <w:t xml:space="preserve"> Représenter le diagramme de prédominance associé au couple </w:t>
      </w:r>
      <w:r w:rsidR="008E38DA">
        <w:rPr>
          <w:rFonts w:ascii="Arial" w:hAnsi="Arial" w:cs="Arial"/>
          <w:sz w:val="24"/>
          <w:szCs w:val="24"/>
        </w:rPr>
        <w:t>C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 w:rsidRPr="0037522D">
        <w:rPr>
          <w:rFonts w:ascii="Arial" w:hAnsi="Arial" w:cs="Arial"/>
          <w:sz w:val="24"/>
          <w:szCs w:val="24"/>
        </w:rPr>
        <w:t>H</w:t>
      </w:r>
      <w:r w:rsidR="008E38DA">
        <w:rPr>
          <w:rFonts w:ascii="Arial" w:hAnsi="Arial" w:cs="Arial"/>
          <w:sz w:val="24"/>
          <w:szCs w:val="24"/>
          <w:vertAlign w:val="subscript"/>
        </w:rPr>
        <w:t>4</w:t>
      </w:r>
      <w:r w:rsidR="008E38DA" w:rsidRPr="0037522D">
        <w:rPr>
          <w:rFonts w:ascii="Arial" w:hAnsi="Arial" w:cs="Arial"/>
          <w:sz w:val="24"/>
          <w:szCs w:val="24"/>
        </w:rPr>
        <w:t>O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>
        <w:rPr>
          <w:rFonts w:ascii="Arial" w:hAnsi="Arial" w:cs="Arial"/>
          <w:sz w:val="24"/>
          <w:szCs w:val="24"/>
        </w:rPr>
        <w:t xml:space="preserve"> </w:t>
      </w:r>
      <w:r w:rsidR="008E38DA" w:rsidRPr="003B14C9">
        <w:rPr>
          <w:rFonts w:ascii="Arial" w:hAnsi="Arial" w:cs="Arial"/>
          <w:sz w:val="24"/>
          <w:szCs w:val="24"/>
        </w:rPr>
        <w:t xml:space="preserve">(aq) </w:t>
      </w:r>
      <w:r w:rsidR="008E38DA">
        <w:rPr>
          <w:rFonts w:ascii="Arial" w:hAnsi="Arial" w:cs="Arial"/>
          <w:sz w:val="24"/>
          <w:szCs w:val="24"/>
        </w:rPr>
        <w:t>/ C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 w:rsidRPr="0037522D">
        <w:rPr>
          <w:rFonts w:ascii="Arial" w:hAnsi="Arial" w:cs="Arial"/>
          <w:sz w:val="24"/>
          <w:szCs w:val="24"/>
        </w:rPr>
        <w:t>H</w:t>
      </w:r>
      <w:r w:rsidR="008E38DA">
        <w:rPr>
          <w:rFonts w:ascii="Arial" w:hAnsi="Arial" w:cs="Arial"/>
          <w:sz w:val="24"/>
          <w:szCs w:val="24"/>
          <w:vertAlign w:val="subscript"/>
        </w:rPr>
        <w:t>3</w:t>
      </w:r>
      <w:r w:rsidR="008E38DA" w:rsidRPr="0037522D">
        <w:rPr>
          <w:rFonts w:ascii="Arial" w:hAnsi="Arial" w:cs="Arial"/>
          <w:sz w:val="24"/>
          <w:szCs w:val="24"/>
        </w:rPr>
        <w:t>O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8E38DA" w:rsidRPr="003B14C9">
        <w:rPr>
          <w:rFonts w:ascii="Arial" w:hAnsi="Arial" w:cs="Arial"/>
          <w:sz w:val="24"/>
          <w:szCs w:val="24"/>
        </w:rPr>
        <w:t xml:space="preserve"> (aq)</w:t>
      </w:r>
      <w:r w:rsidRPr="00D20592">
        <w:rPr>
          <w:rFonts w:ascii="Arial" w:hAnsi="Arial" w:cs="Arial"/>
          <w:sz w:val="24"/>
          <w:szCs w:val="24"/>
        </w:rPr>
        <w:t>.</w:t>
      </w:r>
    </w:p>
    <w:p w14:paraId="664B1A99" w14:textId="42D0A7A0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B.2.2</w:t>
      </w:r>
      <w:r w:rsidRPr="00D20592">
        <w:rPr>
          <w:rFonts w:ascii="Arial" w:hAnsi="Arial" w:cs="Arial"/>
          <w:sz w:val="24"/>
          <w:szCs w:val="24"/>
        </w:rPr>
        <w:t xml:space="preserve"> Exprimer la constante d’acidité </w:t>
      </w:r>
      <w:r w:rsidR="008E38DA" w:rsidRPr="008E38DA">
        <w:rPr>
          <w:rFonts w:ascii="Arial" w:hAnsi="Arial" w:cs="Arial"/>
          <w:i/>
          <w:iCs/>
          <w:sz w:val="24"/>
          <w:szCs w:val="24"/>
        </w:rPr>
        <w:t>K</w:t>
      </w:r>
      <w:r w:rsidRPr="008E38DA">
        <w:rPr>
          <w:rFonts w:ascii="Arial" w:hAnsi="Arial" w:cs="Arial"/>
          <w:sz w:val="24"/>
          <w:szCs w:val="24"/>
          <w:vertAlign w:val="subscript"/>
        </w:rPr>
        <w:t>A</w:t>
      </w:r>
      <w:r w:rsidRPr="00D20592">
        <w:rPr>
          <w:rFonts w:ascii="Arial" w:hAnsi="Arial" w:cs="Arial"/>
          <w:sz w:val="24"/>
          <w:szCs w:val="24"/>
        </w:rPr>
        <w:t xml:space="preserve"> du couple </w:t>
      </w:r>
      <w:r w:rsidR="008E38DA">
        <w:rPr>
          <w:rFonts w:ascii="Arial" w:hAnsi="Arial" w:cs="Arial"/>
          <w:sz w:val="24"/>
          <w:szCs w:val="24"/>
        </w:rPr>
        <w:t>C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 w:rsidRPr="0037522D">
        <w:rPr>
          <w:rFonts w:ascii="Arial" w:hAnsi="Arial" w:cs="Arial"/>
          <w:sz w:val="24"/>
          <w:szCs w:val="24"/>
        </w:rPr>
        <w:t>H</w:t>
      </w:r>
      <w:r w:rsidR="008E38DA">
        <w:rPr>
          <w:rFonts w:ascii="Arial" w:hAnsi="Arial" w:cs="Arial"/>
          <w:sz w:val="24"/>
          <w:szCs w:val="24"/>
          <w:vertAlign w:val="subscript"/>
        </w:rPr>
        <w:t>4</w:t>
      </w:r>
      <w:r w:rsidR="008E38DA" w:rsidRPr="0037522D">
        <w:rPr>
          <w:rFonts w:ascii="Arial" w:hAnsi="Arial" w:cs="Arial"/>
          <w:sz w:val="24"/>
          <w:szCs w:val="24"/>
        </w:rPr>
        <w:t>O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>
        <w:rPr>
          <w:rFonts w:ascii="Arial" w:hAnsi="Arial" w:cs="Arial"/>
          <w:sz w:val="24"/>
          <w:szCs w:val="24"/>
        </w:rPr>
        <w:t xml:space="preserve"> </w:t>
      </w:r>
      <w:r w:rsidR="008E38DA" w:rsidRPr="003B14C9">
        <w:rPr>
          <w:rFonts w:ascii="Arial" w:hAnsi="Arial" w:cs="Arial"/>
          <w:sz w:val="24"/>
          <w:szCs w:val="24"/>
        </w:rPr>
        <w:t xml:space="preserve">(aq) </w:t>
      </w:r>
      <w:r w:rsidR="008E38DA">
        <w:rPr>
          <w:rFonts w:ascii="Arial" w:hAnsi="Arial" w:cs="Arial"/>
          <w:sz w:val="24"/>
          <w:szCs w:val="24"/>
        </w:rPr>
        <w:t>/ C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 w:rsidRPr="0037522D">
        <w:rPr>
          <w:rFonts w:ascii="Arial" w:hAnsi="Arial" w:cs="Arial"/>
          <w:sz w:val="24"/>
          <w:szCs w:val="24"/>
        </w:rPr>
        <w:t>H</w:t>
      </w:r>
      <w:r w:rsidR="008E38DA">
        <w:rPr>
          <w:rFonts w:ascii="Arial" w:hAnsi="Arial" w:cs="Arial"/>
          <w:sz w:val="24"/>
          <w:szCs w:val="24"/>
          <w:vertAlign w:val="subscript"/>
        </w:rPr>
        <w:t>3</w:t>
      </w:r>
      <w:r w:rsidR="008E38DA" w:rsidRPr="0037522D">
        <w:rPr>
          <w:rFonts w:ascii="Arial" w:hAnsi="Arial" w:cs="Arial"/>
          <w:sz w:val="24"/>
          <w:szCs w:val="24"/>
        </w:rPr>
        <w:t>O</w:t>
      </w:r>
      <w:r w:rsidR="008E38DA" w:rsidRPr="00D20592">
        <w:rPr>
          <w:rFonts w:ascii="Arial" w:hAnsi="Arial" w:cs="Arial"/>
          <w:sz w:val="24"/>
          <w:szCs w:val="24"/>
          <w:vertAlign w:val="subscript"/>
        </w:rPr>
        <w:t>2</w:t>
      </w:r>
      <w:r w:rsidR="008E38DA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8E38DA" w:rsidRPr="003B14C9">
        <w:rPr>
          <w:rFonts w:ascii="Arial" w:hAnsi="Arial" w:cs="Arial"/>
          <w:sz w:val="24"/>
          <w:szCs w:val="24"/>
        </w:rPr>
        <w:t xml:space="preserve"> (aq)</w:t>
      </w:r>
      <w:r w:rsidR="008E38DA" w:rsidRPr="00D20592">
        <w:rPr>
          <w:rFonts w:ascii="Arial" w:hAnsi="Arial" w:cs="Arial"/>
          <w:sz w:val="24"/>
          <w:szCs w:val="24"/>
        </w:rPr>
        <w:t>.</w:t>
      </w:r>
    </w:p>
    <w:p w14:paraId="710EC78C" w14:textId="08278E69" w:rsidR="00D20592" w:rsidRPr="00D20592" w:rsidRDefault="00D20592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B.2.3</w:t>
      </w:r>
      <w:r w:rsidRPr="00D20592">
        <w:rPr>
          <w:rFonts w:ascii="Arial" w:hAnsi="Arial" w:cs="Arial"/>
          <w:sz w:val="24"/>
          <w:szCs w:val="24"/>
        </w:rPr>
        <w:t xml:space="preserve"> À partir de l’expression de la constante d’acidité </w:t>
      </w:r>
      <w:r w:rsidR="008E38DA" w:rsidRPr="008E38DA">
        <w:rPr>
          <w:rFonts w:ascii="Arial" w:hAnsi="Arial" w:cs="Arial"/>
          <w:i/>
          <w:iCs/>
          <w:sz w:val="24"/>
          <w:szCs w:val="24"/>
        </w:rPr>
        <w:t>K</w:t>
      </w:r>
      <w:r w:rsidR="008E38DA" w:rsidRPr="008E38DA">
        <w:rPr>
          <w:rFonts w:ascii="Arial" w:hAnsi="Arial" w:cs="Arial"/>
          <w:sz w:val="24"/>
          <w:szCs w:val="24"/>
          <w:vertAlign w:val="subscript"/>
        </w:rPr>
        <w:t>A</w:t>
      </w:r>
      <w:r w:rsidRPr="00D20592">
        <w:rPr>
          <w:rFonts w:ascii="Arial" w:hAnsi="Arial" w:cs="Arial"/>
          <w:sz w:val="24"/>
          <w:szCs w:val="24"/>
        </w:rPr>
        <w:t>, retrouver la relation</w:t>
      </w:r>
      <w:r w:rsidR="008E38DA">
        <w:rPr>
          <w:rFonts w:ascii="Arial" w:hAnsi="Arial" w:cs="Arial"/>
          <w:sz w:val="24"/>
          <w:szCs w:val="24"/>
        </w:rPr>
        <w:t> :</w:t>
      </w:r>
    </w:p>
    <w:p w14:paraId="5F0A4888" w14:textId="6FB5A334" w:rsidR="00D20592" w:rsidRPr="00D20592" w:rsidRDefault="008E38DA" w:rsidP="008E38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pH=p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+log</m:t>
          </m:r>
          <m:d>
            <m:dPr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>‒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(aq)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(aq)</m:t>
                      </m:r>
                    </m:e>
                  </m:d>
                </m:den>
              </m:f>
            </m:e>
          </m:d>
        </m:oMath>
      </m:oMathPara>
    </w:p>
    <w:p w14:paraId="50BDA4FB" w14:textId="3BA3038D" w:rsidR="00D20592" w:rsidRPr="00D20592" w:rsidRDefault="00D20592" w:rsidP="008E38DA">
      <w:pPr>
        <w:tabs>
          <w:tab w:val="left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674F7">
        <w:rPr>
          <w:rFonts w:ascii="Arial" w:hAnsi="Arial" w:cs="Arial"/>
          <w:b/>
          <w:bCs/>
          <w:sz w:val="24"/>
          <w:szCs w:val="24"/>
        </w:rPr>
        <w:t>B.2.4</w:t>
      </w:r>
      <w:r w:rsidR="008E38DA">
        <w:rPr>
          <w:rFonts w:ascii="Arial" w:hAnsi="Arial" w:cs="Arial"/>
          <w:b/>
          <w:bCs/>
          <w:sz w:val="24"/>
          <w:szCs w:val="24"/>
        </w:rPr>
        <w:tab/>
      </w:r>
      <w:r w:rsidRPr="00D20592">
        <w:rPr>
          <w:rFonts w:ascii="Arial" w:hAnsi="Arial" w:cs="Arial"/>
          <w:sz w:val="24"/>
          <w:szCs w:val="24"/>
        </w:rPr>
        <w:t xml:space="preserve">Calculer le </w:t>
      </w:r>
      <w:r w:rsidR="008E38DA" w:rsidRPr="008E38DA">
        <w:rPr>
          <w:rFonts w:ascii="Arial" w:hAnsi="Arial" w:cs="Arial"/>
          <w:i/>
          <w:iCs/>
          <w:sz w:val="24"/>
          <w:szCs w:val="24"/>
        </w:rPr>
        <w:t>pH</w:t>
      </w:r>
      <w:r w:rsidRPr="00D20592">
        <w:rPr>
          <w:rFonts w:ascii="Arial" w:hAnsi="Arial" w:cs="Arial"/>
          <w:sz w:val="24"/>
          <w:szCs w:val="24"/>
        </w:rPr>
        <w:t xml:space="preserve"> réel de cette solution et vérifier si le particulier respecte la norme d’acidification</w:t>
      </w:r>
      <w:r w:rsidR="008E38DA">
        <w:rPr>
          <w:rFonts w:ascii="Arial" w:hAnsi="Arial" w:cs="Arial"/>
          <w:sz w:val="24"/>
          <w:szCs w:val="24"/>
        </w:rPr>
        <w:t xml:space="preserve"> </w:t>
      </w:r>
      <w:r w:rsidRPr="00D20592">
        <w:rPr>
          <w:rFonts w:ascii="Arial" w:hAnsi="Arial" w:cs="Arial"/>
          <w:sz w:val="24"/>
          <w:szCs w:val="24"/>
        </w:rPr>
        <w:t>pour l’eau de boisson de ses poules.</w:t>
      </w:r>
    </w:p>
    <w:p w14:paraId="461F9BAE" w14:textId="3E9A45C8" w:rsidR="00D20592" w:rsidRPr="00DE59A4" w:rsidRDefault="00D20592" w:rsidP="00D2059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38DA">
        <w:rPr>
          <w:rFonts w:ascii="Arial" w:hAnsi="Arial" w:cs="Arial"/>
          <w:i/>
          <w:iCs/>
          <w:sz w:val="24"/>
          <w:szCs w:val="24"/>
        </w:rPr>
        <w:t>Le candidat est invité à prendre des initiatives et à présenter la démarche suivie, même si elle</w:t>
      </w:r>
      <w:r w:rsidR="008E38DA" w:rsidRPr="008E38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E38DA">
        <w:rPr>
          <w:rFonts w:ascii="Arial" w:hAnsi="Arial" w:cs="Arial"/>
          <w:i/>
          <w:iCs/>
          <w:sz w:val="24"/>
          <w:szCs w:val="24"/>
        </w:rPr>
        <w:t>n’est pas aboutie. La démarche est évaluée et nécessite d’être correctement présentée.</w:t>
      </w:r>
    </w:p>
    <w:sectPr w:rsidR="00D20592" w:rsidRPr="00DE59A4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23E2" w14:textId="77777777" w:rsidR="00730566" w:rsidRDefault="00730566" w:rsidP="001535DF">
      <w:pPr>
        <w:spacing w:after="0" w:line="240" w:lineRule="auto"/>
      </w:pPr>
      <w:r>
        <w:separator/>
      </w:r>
    </w:p>
  </w:endnote>
  <w:endnote w:type="continuationSeparator" w:id="0">
    <w:p w14:paraId="1BFF69F0" w14:textId="77777777" w:rsidR="00730566" w:rsidRDefault="00730566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FC06" w14:textId="77777777" w:rsidR="00730566" w:rsidRDefault="00730566" w:rsidP="001535DF">
      <w:pPr>
        <w:spacing w:after="0" w:line="240" w:lineRule="auto"/>
      </w:pPr>
      <w:r>
        <w:separator/>
      </w:r>
    </w:p>
  </w:footnote>
  <w:footnote w:type="continuationSeparator" w:id="0">
    <w:p w14:paraId="6E6F951E" w14:textId="77777777" w:rsidR="00730566" w:rsidRDefault="00730566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8"/>
  </w:num>
  <w:num w:numId="2" w16cid:durableId="147598150">
    <w:abstractNumId w:val="10"/>
  </w:num>
  <w:num w:numId="3" w16cid:durableId="1648433892">
    <w:abstractNumId w:val="6"/>
  </w:num>
  <w:num w:numId="4" w16cid:durableId="1579440187">
    <w:abstractNumId w:val="5"/>
  </w:num>
  <w:num w:numId="5" w16cid:durableId="1786654171">
    <w:abstractNumId w:val="1"/>
  </w:num>
  <w:num w:numId="6" w16cid:durableId="426509613">
    <w:abstractNumId w:val="4"/>
  </w:num>
  <w:num w:numId="7" w16cid:durableId="1339189770">
    <w:abstractNumId w:val="9"/>
  </w:num>
  <w:num w:numId="8" w16cid:durableId="156264607">
    <w:abstractNumId w:val="7"/>
  </w:num>
  <w:num w:numId="9" w16cid:durableId="1301494390">
    <w:abstractNumId w:val="3"/>
  </w:num>
  <w:num w:numId="10" w16cid:durableId="1025329350">
    <w:abstractNumId w:val="2"/>
  </w:num>
  <w:num w:numId="11" w16cid:durableId="59547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22699"/>
    <w:rsid w:val="001535DF"/>
    <w:rsid w:val="00161916"/>
    <w:rsid w:val="001A5F81"/>
    <w:rsid w:val="00206D11"/>
    <w:rsid w:val="00220886"/>
    <w:rsid w:val="00233A95"/>
    <w:rsid w:val="00234D33"/>
    <w:rsid w:val="002674F7"/>
    <w:rsid w:val="00371118"/>
    <w:rsid w:val="0037522D"/>
    <w:rsid w:val="00387A6D"/>
    <w:rsid w:val="00393785"/>
    <w:rsid w:val="003B14C9"/>
    <w:rsid w:val="003F3BB3"/>
    <w:rsid w:val="0046426E"/>
    <w:rsid w:val="005847DE"/>
    <w:rsid w:val="005D311E"/>
    <w:rsid w:val="005E5B23"/>
    <w:rsid w:val="00622147"/>
    <w:rsid w:val="00635E23"/>
    <w:rsid w:val="00692DDB"/>
    <w:rsid w:val="00730566"/>
    <w:rsid w:val="00772069"/>
    <w:rsid w:val="007868DA"/>
    <w:rsid w:val="008E38DA"/>
    <w:rsid w:val="00926C37"/>
    <w:rsid w:val="00A049EE"/>
    <w:rsid w:val="00A86B99"/>
    <w:rsid w:val="00AB2A41"/>
    <w:rsid w:val="00AC0230"/>
    <w:rsid w:val="00B158CD"/>
    <w:rsid w:val="00B249DC"/>
    <w:rsid w:val="00B65A7E"/>
    <w:rsid w:val="00C73CD9"/>
    <w:rsid w:val="00D20592"/>
    <w:rsid w:val="00D46709"/>
    <w:rsid w:val="00DE59A4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E59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2024-02-24T14:43:00Z</cp:lastPrinted>
  <dcterms:created xsi:type="dcterms:W3CDTF">2024-02-24T14:43:00Z</dcterms:created>
  <dcterms:modified xsi:type="dcterms:W3CDTF">2024-02-24T14:43:00Z</dcterms:modified>
</cp:coreProperties>
</file>