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0A5645A3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</w:t>
      </w:r>
      <w:r w:rsidR="001E5E1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2 </w:t>
      </w:r>
      <w:r w:rsidR="001E5E12">
        <w:rPr>
          <w:rFonts w:ascii="Arial" w:hAnsi="Arial" w:cs="Arial"/>
          <w:b/>
          <w:bCs/>
          <w:sz w:val="24"/>
          <w:szCs w:val="24"/>
        </w:rPr>
        <w:t>Amérique du Sud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86646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0AA7FAE7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E5E12">
        <w:rPr>
          <w:rFonts w:ascii="Arial" w:hAnsi="Arial" w:cs="Arial"/>
          <w:b/>
          <w:bCs/>
          <w:sz w:val="24"/>
          <w:szCs w:val="24"/>
        </w:rPr>
        <w:t>B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C82F9DF" w:rsidR="00EB63DF" w:rsidRPr="002C27A0" w:rsidRDefault="00866469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Besoins en magnésium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284868" w14:textId="4D2F15C6" w:rsidR="00BA4E87" w:rsidRDefault="00BA4E87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DC1ED" w14:textId="1ACFF387" w:rsidR="00866469" w:rsidRPr="00866469" w:rsidRDefault="00866469" w:rsidP="00866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Le magnésium est un oligoélément indispensable à notre organisme. Il intervient dans le bon</w:t>
      </w:r>
      <w:r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fonctionnement des systèmes musculaires et nerveux, la santé osseuse et la synthèse des protéines</w:t>
      </w:r>
      <w:r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et de l’ADN. L’organisme humain ne peut pas produire ses propres réserves de magnésium aussi</w:t>
      </w:r>
      <w:r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faut-il lui en apporter par le biais de l’alimentation.</w:t>
      </w:r>
    </w:p>
    <w:p w14:paraId="6B33AD13" w14:textId="73275AB3" w:rsidR="00866469" w:rsidRDefault="00866469" w:rsidP="00866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En France, pour un adulte, l’Agence Nationale de Sécurité Sanitaire de l’Alimentation, de</w:t>
      </w:r>
      <w:r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l’Environnement et du Travail (ANSES) a conseillé un apport en magnésium de 6 mg/jour/kg.</w:t>
      </w:r>
    </w:p>
    <w:p w14:paraId="0BA4E295" w14:textId="23DB3E15" w:rsidR="00866469" w:rsidRPr="00866469" w:rsidRDefault="0032131C" w:rsidP="00866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2A2A3" wp14:editId="3849ED76">
            <wp:simplePos x="0" y="0"/>
            <wp:positionH relativeFrom="margin">
              <wp:align>right</wp:align>
            </wp:positionH>
            <wp:positionV relativeFrom="paragraph">
              <wp:posOffset>36195</wp:posOffset>
            </wp:positionV>
            <wp:extent cx="2698750" cy="278130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0ED22" w14:textId="139DB2A6" w:rsidR="00866469" w:rsidRDefault="00866469" w:rsidP="0032131C">
      <w:pPr>
        <w:spacing w:after="0" w:line="240" w:lineRule="auto"/>
        <w:ind w:right="4817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Les cartouches «</w:t>
      </w:r>
      <w:r>
        <w:rPr>
          <w:rFonts w:ascii="Arial" w:hAnsi="Arial" w:cs="Arial"/>
          <w:sz w:val="24"/>
          <w:szCs w:val="24"/>
        </w:rPr>
        <w:t> </w:t>
      </w:r>
      <w:r w:rsidRPr="00866469">
        <w:rPr>
          <w:rFonts w:ascii="Arial" w:hAnsi="Arial" w:cs="Arial"/>
          <w:sz w:val="24"/>
          <w:szCs w:val="24"/>
        </w:rPr>
        <w:t>Edition Mg</w:t>
      </w:r>
      <w:r w:rsidRPr="00866469">
        <w:rPr>
          <w:rFonts w:ascii="Arial" w:hAnsi="Arial" w:cs="Arial"/>
          <w:sz w:val="24"/>
          <w:szCs w:val="24"/>
          <w:vertAlign w:val="superscript"/>
        </w:rPr>
        <w:t>2+</w:t>
      </w:r>
      <w:r>
        <w:rPr>
          <w:rFonts w:ascii="Arial" w:hAnsi="Arial" w:cs="Arial"/>
          <w:sz w:val="24"/>
          <w:szCs w:val="24"/>
        </w:rPr>
        <w:t> </w:t>
      </w:r>
      <w:r w:rsidRPr="00866469">
        <w:rPr>
          <w:rFonts w:ascii="Arial" w:hAnsi="Arial" w:cs="Arial"/>
          <w:sz w:val="24"/>
          <w:szCs w:val="24"/>
        </w:rPr>
        <w:t>» disponibles pour</w:t>
      </w:r>
      <w:r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des carafes filtrantes permettraient de faire</w:t>
      </w:r>
      <w:r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consommer une eau enrichie en magnésium.</w:t>
      </w:r>
    </w:p>
    <w:p w14:paraId="2B073B7F" w14:textId="77777777" w:rsidR="00866469" w:rsidRPr="00866469" w:rsidRDefault="00866469" w:rsidP="0032131C">
      <w:pPr>
        <w:spacing w:after="0" w:line="240" w:lineRule="auto"/>
        <w:ind w:right="4817"/>
        <w:jc w:val="both"/>
        <w:rPr>
          <w:rFonts w:ascii="Arial" w:hAnsi="Arial" w:cs="Arial"/>
          <w:sz w:val="24"/>
          <w:szCs w:val="24"/>
        </w:rPr>
      </w:pPr>
    </w:p>
    <w:p w14:paraId="1F0F5C51" w14:textId="5C97F3B2" w:rsidR="00866469" w:rsidRDefault="00866469" w:rsidP="0032131C">
      <w:pPr>
        <w:spacing w:after="0" w:line="240" w:lineRule="auto"/>
        <w:ind w:right="4817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Dans une cartouche filtrante «</w:t>
      </w:r>
      <w:r>
        <w:rPr>
          <w:rFonts w:ascii="Arial" w:hAnsi="Arial" w:cs="Arial"/>
          <w:sz w:val="24"/>
          <w:szCs w:val="24"/>
        </w:rPr>
        <w:t> </w:t>
      </w:r>
      <w:r w:rsidRPr="00866469">
        <w:rPr>
          <w:rFonts w:ascii="Arial" w:hAnsi="Arial" w:cs="Arial"/>
          <w:sz w:val="24"/>
          <w:szCs w:val="24"/>
        </w:rPr>
        <w:t>Edition Mg</w:t>
      </w:r>
      <w:r w:rsidRPr="00866469">
        <w:rPr>
          <w:rFonts w:ascii="Arial" w:hAnsi="Arial" w:cs="Arial"/>
          <w:sz w:val="24"/>
          <w:szCs w:val="24"/>
          <w:vertAlign w:val="superscript"/>
        </w:rPr>
        <w:t>2+</w:t>
      </w:r>
      <w:r>
        <w:rPr>
          <w:rFonts w:ascii="Arial" w:hAnsi="Arial" w:cs="Arial"/>
          <w:sz w:val="24"/>
          <w:szCs w:val="24"/>
        </w:rPr>
        <w:t> </w:t>
      </w:r>
      <w:r w:rsidRPr="00866469">
        <w:rPr>
          <w:rFonts w:ascii="Arial" w:hAnsi="Arial" w:cs="Arial"/>
          <w:sz w:val="24"/>
          <w:szCs w:val="24"/>
        </w:rPr>
        <w:t>», l’eau</w:t>
      </w:r>
      <w:r w:rsidR="0032131C"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passe notamment par une résine échangeuse d'ions</w:t>
      </w:r>
      <w:r w:rsidR="0032131C"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qui va éliminer le tartre et les métaux lourds</w:t>
      </w:r>
      <w:r w:rsidR="0032131C">
        <w:rPr>
          <w:rFonts w:ascii="Arial" w:hAnsi="Arial" w:cs="Arial"/>
          <w:sz w:val="24"/>
          <w:szCs w:val="24"/>
        </w:rPr>
        <w:t> ;</w:t>
      </w:r>
      <w:r w:rsidRPr="00866469">
        <w:rPr>
          <w:rFonts w:ascii="Arial" w:hAnsi="Arial" w:cs="Arial"/>
          <w:sz w:val="24"/>
          <w:szCs w:val="24"/>
        </w:rPr>
        <w:t xml:space="preserve"> les</w:t>
      </w:r>
      <w:r w:rsidR="0032131C"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ions calcium présents dans l’eau sont alors</w:t>
      </w:r>
      <w:r w:rsidR="0032131C"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remplacés par des ions magnésium […]</w:t>
      </w:r>
    </w:p>
    <w:p w14:paraId="2B55485F" w14:textId="45393582" w:rsidR="00866469" w:rsidRDefault="00866469" w:rsidP="004C4BFB">
      <w:pPr>
        <w:spacing w:before="120" w:after="0" w:line="240" w:lineRule="auto"/>
        <w:ind w:right="4820"/>
        <w:jc w:val="right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 xml:space="preserve">D’après </w:t>
      </w:r>
      <w:r w:rsidR="0032131C" w:rsidRPr="0032131C">
        <w:rPr>
          <w:rFonts w:ascii="Arial" w:hAnsi="Arial" w:cs="Arial"/>
          <w:color w:val="0000FF"/>
          <w:sz w:val="24"/>
          <w:szCs w:val="24"/>
          <w:u w:val="single"/>
        </w:rPr>
        <w:t>https://www.bwt.com/fr-fr/</w:t>
      </w:r>
    </w:p>
    <w:p w14:paraId="552B77C4" w14:textId="77777777" w:rsidR="0032131C" w:rsidRPr="00866469" w:rsidRDefault="0032131C" w:rsidP="0032131C">
      <w:pPr>
        <w:spacing w:after="0" w:line="240" w:lineRule="auto"/>
        <w:ind w:right="4817"/>
        <w:jc w:val="both"/>
        <w:rPr>
          <w:rFonts w:ascii="Arial" w:hAnsi="Arial" w:cs="Arial"/>
          <w:sz w:val="24"/>
          <w:szCs w:val="24"/>
        </w:rPr>
      </w:pPr>
    </w:p>
    <w:p w14:paraId="3443E0EB" w14:textId="1952FEAF" w:rsidR="00866469" w:rsidRPr="00866469" w:rsidRDefault="00866469" w:rsidP="0032131C">
      <w:pPr>
        <w:spacing w:after="0" w:line="240" w:lineRule="auto"/>
        <w:ind w:right="4817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Le but de cet exercice est de vérifier l’efficacité de</w:t>
      </w:r>
      <w:r w:rsidR="0032131C"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ces cartouches filtrantes relative au remplacement</w:t>
      </w:r>
      <w:r w:rsidR="0032131C"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des ions calcium par des ions magnésium.</w:t>
      </w:r>
    </w:p>
    <w:p w14:paraId="6A18BF7F" w14:textId="77777777" w:rsidR="0032131C" w:rsidRDefault="0032131C" w:rsidP="00866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185F3B" w14:textId="200139F2" w:rsidR="00866469" w:rsidRPr="0032131C" w:rsidRDefault="00866469" w:rsidP="008664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2131C">
        <w:rPr>
          <w:rFonts w:ascii="Arial" w:hAnsi="Arial" w:cs="Arial"/>
          <w:b/>
          <w:bCs/>
          <w:sz w:val="24"/>
          <w:szCs w:val="24"/>
          <w:u w:val="single"/>
        </w:rPr>
        <w:t>Données</w:t>
      </w:r>
    </w:p>
    <w:p w14:paraId="610A1553" w14:textId="09B9CB30" w:rsidR="00866469" w:rsidRPr="0032131C" w:rsidRDefault="00866469" w:rsidP="004C4BFB">
      <w:pPr>
        <w:pStyle w:val="Paragraphedeliste"/>
        <w:numPr>
          <w:ilvl w:val="0"/>
          <w:numId w:val="19"/>
        </w:numPr>
        <w:tabs>
          <w:tab w:val="left" w:pos="284"/>
        </w:tabs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2131C">
        <w:rPr>
          <w:rFonts w:ascii="Arial" w:hAnsi="Arial" w:cs="Arial"/>
          <w:sz w:val="24"/>
          <w:szCs w:val="24"/>
        </w:rPr>
        <w:t>Masses molaires</w:t>
      </w:r>
      <w:r w:rsidR="0032131C" w:rsidRPr="0032131C">
        <w:rPr>
          <w:rFonts w:ascii="Arial" w:hAnsi="Arial" w:cs="Arial"/>
          <w:sz w:val="24"/>
          <w:szCs w:val="24"/>
        </w:rPr>
        <w:t> :</w:t>
      </w:r>
      <w:r w:rsidRPr="0032131C">
        <w:rPr>
          <w:rFonts w:ascii="Arial" w:hAnsi="Arial" w:cs="Arial"/>
          <w:sz w:val="24"/>
          <w:szCs w:val="24"/>
        </w:rPr>
        <w:t xml:space="preserve"> </w:t>
      </w:r>
      <w:r w:rsidRPr="0032131C">
        <w:rPr>
          <w:rFonts w:ascii="Arial" w:hAnsi="Arial" w:cs="Arial"/>
          <w:i/>
          <w:iCs/>
          <w:sz w:val="24"/>
          <w:szCs w:val="24"/>
        </w:rPr>
        <w:t>M</w:t>
      </w:r>
      <w:r w:rsidRPr="0032131C">
        <w:rPr>
          <w:rFonts w:ascii="Arial" w:hAnsi="Arial" w:cs="Arial"/>
          <w:sz w:val="24"/>
          <w:szCs w:val="24"/>
        </w:rPr>
        <w:t>(Mg) = 24,3 g·mol</w:t>
      </w:r>
      <w:r w:rsidRPr="0032131C">
        <w:rPr>
          <w:rFonts w:ascii="Arial" w:hAnsi="Arial" w:cs="Arial"/>
          <w:sz w:val="24"/>
          <w:szCs w:val="24"/>
          <w:vertAlign w:val="superscript"/>
        </w:rPr>
        <w:t>-1</w:t>
      </w:r>
      <w:r w:rsidRPr="0032131C">
        <w:rPr>
          <w:rFonts w:ascii="Arial" w:hAnsi="Arial" w:cs="Arial"/>
          <w:sz w:val="24"/>
          <w:szCs w:val="24"/>
        </w:rPr>
        <w:t xml:space="preserve"> </w:t>
      </w:r>
      <w:r w:rsidR="0032131C">
        <w:rPr>
          <w:rFonts w:ascii="Arial" w:hAnsi="Arial" w:cs="Arial"/>
          <w:sz w:val="24"/>
          <w:szCs w:val="24"/>
        </w:rPr>
        <w:t xml:space="preserve">         </w:t>
      </w:r>
      <w:r w:rsidRPr="0032131C">
        <w:rPr>
          <w:rFonts w:ascii="Arial" w:hAnsi="Arial" w:cs="Arial"/>
          <w:i/>
          <w:iCs/>
          <w:sz w:val="24"/>
          <w:szCs w:val="24"/>
        </w:rPr>
        <w:t>M</w:t>
      </w:r>
      <w:r w:rsidRPr="0032131C">
        <w:rPr>
          <w:rFonts w:ascii="Arial" w:hAnsi="Arial" w:cs="Arial"/>
          <w:sz w:val="24"/>
          <w:szCs w:val="24"/>
        </w:rPr>
        <w:t>(Ca) = 40,1 g·mol</w:t>
      </w:r>
      <w:r w:rsidR="0032131C" w:rsidRPr="0032131C">
        <w:rPr>
          <w:rFonts w:ascii="Arial" w:hAnsi="Arial" w:cs="Arial"/>
          <w:sz w:val="24"/>
          <w:szCs w:val="24"/>
          <w:vertAlign w:val="superscript"/>
        </w:rPr>
        <w:t>-1</w:t>
      </w:r>
    </w:p>
    <w:p w14:paraId="5AE10883" w14:textId="41B32D27" w:rsidR="00866469" w:rsidRPr="0032131C" w:rsidRDefault="00866469" w:rsidP="0032131C">
      <w:pPr>
        <w:pStyle w:val="Paragraphedeliste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3"/>
        <w:jc w:val="both"/>
        <w:rPr>
          <w:rFonts w:ascii="Arial" w:hAnsi="Arial" w:cs="Arial"/>
          <w:sz w:val="24"/>
          <w:szCs w:val="24"/>
        </w:rPr>
      </w:pPr>
      <w:r w:rsidRPr="0032131C">
        <w:rPr>
          <w:rFonts w:ascii="Arial" w:hAnsi="Arial" w:cs="Arial"/>
          <w:sz w:val="24"/>
          <w:szCs w:val="24"/>
        </w:rPr>
        <w:t>Méthode de détermination de la concentration totale en ions magnésium et calcium.</w:t>
      </w:r>
    </w:p>
    <w:p w14:paraId="2909D925" w14:textId="77777777" w:rsidR="0032131C" w:rsidRDefault="00866469" w:rsidP="0032131C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La concentration totale en ions magnésium et en ions calcium d’une eau peut être</w:t>
      </w:r>
      <w:r w:rsidR="0032131C"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 xml:space="preserve">déterminée grâce à un titrage par l’EDTA (acide </w:t>
      </w:r>
      <w:proofErr w:type="spellStart"/>
      <w:r w:rsidRPr="00866469">
        <w:rPr>
          <w:rFonts w:ascii="Arial" w:hAnsi="Arial" w:cs="Arial"/>
          <w:sz w:val="24"/>
          <w:szCs w:val="24"/>
        </w:rPr>
        <w:t>éthylènediaminetétraacétique</w:t>
      </w:r>
      <w:proofErr w:type="spellEnd"/>
      <w:r w:rsidRPr="00866469">
        <w:rPr>
          <w:rFonts w:ascii="Arial" w:hAnsi="Arial" w:cs="Arial"/>
          <w:sz w:val="24"/>
          <w:szCs w:val="24"/>
        </w:rPr>
        <w:t>) en présence</w:t>
      </w:r>
      <w:r w:rsidR="0032131C"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d’un indicateur coloré de fin de réaction et d’une solution tampon permettant de maintenir</w:t>
      </w:r>
      <w:r w:rsidR="0032131C"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 xml:space="preserve">le </w:t>
      </w:r>
      <w:r w:rsidR="0032131C" w:rsidRPr="0032131C">
        <w:rPr>
          <w:rFonts w:ascii="Arial" w:hAnsi="Arial" w:cs="Arial"/>
          <w:i/>
          <w:iCs/>
          <w:sz w:val="24"/>
          <w:szCs w:val="24"/>
        </w:rPr>
        <w:t>pH</w:t>
      </w:r>
      <w:r w:rsidRPr="00866469">
        <w:rPr>
          <w:rFonts w:ascii="Arial" w:hAnsi="Arial" w:cs="Arial"/>
          <w:sz w:val="24"/>
          <w:szCs w:val="24"/>
        </w:rPr>
        <w:t xml:space="preserve"> de la solution entre 9 et 10.</w:t>
      </w:r>
    </w:p>
    <w:p w14:paraId="044BBCB0" w14:textId="74009480" w:rsidR="0032131C" w:rsidRDefault="00866469" w:rsidP="0032131C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 xml:space="preserve">La concentration de la solution d’EDTA utilisée est </w:t>
      </w:r>
      <w:r w:rsidR="0032131C" w:rsidRPr="0032131C">
        <w:rPr>
          <w:rFonts w:ascii="Arial" w:hAnsi="Arial" w:cs="Arial"/>
          <w:i/>
          <w:iCs/>
          <w:sz w:val="24"/>
          <w:szCs w:val="24"/>
        </w:rPr>
        <w:t>c</w:t>
      </w:r>
      <w:r w:rsidRPr="00866469">
        <w:rPr>
          <w:rFonts w:ascii="Arial" w:hAnsi="Arial" w:cs="Arial"/>
          <w:sz w:val="24"/>
          <w:szCs w:val="24"/>
        </w:rPr>
        <w:t xml:space="preserve"> = 1,0 × 10</w:t>
      </w:r>
      <w:r w:rsidR="0032131C" w:rsidRPr="0032131C">
        <w:rPr>
          <w:rFonts w:ascii="Arial" w:hAnsi="Arial" w:cs="Arial"/>
          <w:sz w:val="24"/>
          <w:szCs w:val="24"/>
          <w:vertAlign w:val="superscript"/>
        </w:rPr>
        <w:t>-</w:t>
      </w:r>
      <w:r w:rsidR="0032131C">
        <w:rPr>
          <w:rFonts w:ascii="Arial" w:hAnsi="Arial" w:cs="Arial"/>
          <w:sz w:val="24"/>
          <w:szCs w:val="24"/>
          <w:vertAlign w:val="superscript"/>
        </w:rPr>
        <w:t>2</w:t>
      </w:r>
      <w:r w:rsidRPr="00866469">
        <w:rPr>
          <w:rFonts w:ascii="Arial" w:hAnsi="Arial" w:cs="Arial"/>
          <w:sz w:val="24"/>
          <w:szCs w:val="24"/>
        </w:rPr>
        <w:t xml:space="preserve"> mol</w:t>
      </w:r>
      <w:r w:rsidRPr="00866469">
        <w:rPr>
          <w:rFonts w:ascii="Cambria Math" w:hAnsi="Cambria Math" w:cs="Cambria Math"/>
          <w:sz w:val="24"/>
          <w:szCs w:val="24"/>
        </w:rPr>
        <w:t>⋅</w:t>
      </w:r>
      <w:r w:rsidRPr="00866469">
        <w:rPr>
          <w:rFonts w:ascii="Arial" w:hAnsi="Arial" w:cs="Arial"/>
          <w:sz w:val="24"/>
          <w:szCs w:val="24"/>
        </w:rPr>
        <w:t>L</w:t>
      </w:r>
      <w:r w:rsidR="0032131C" w:rsidRPr="0032131C">
        <w:rPr>
          <w:rFonts w:ascii="Arial" w:hAnsi="Arial" w:cs="Arial"/>
          <w:sz w:val="24"/>
          <w:szCs w:val="24"/>
          <w:vertAlign w:val="superscript"/>
        </w:rPr>
        <w:t>-1</w:t>
      </w:r>
      <w:r w:rsidRPr="00866469">
        <w:rPr>
          <w:rFonts w:ascii="Arial" w:hAnsi="Arial" w:cs="Arial"/>
          <w:sz w:val="24"/>
          <w:szCs w:val="24"/>
        </w:rPr>
        <w:t>.</w:t>
      </w:r>
    </w:p>
    <w:p w14:paraId="517781C9" w14:textId="77777777" w:rsidR="0032131C" w:rsidRDefault="0032131C" w:rsidP="0032131C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35CB6D62" w14:textId="3B3A2D18" w:rsidR="00866469" w:rsidRPr="00866469" w:rsidRDefault="0032131C" w:rsidP="0032131C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66469" w:rsidRPr="00866469">
        <w:rPr>
          <w:rFonts w:ascii="Arial" w:hAnsi="Arial" w:cs="Arial"/>
          <w:sz w:val="24"/>
          <w:szCs w:val="24"/>
        </w:rPr>
        <w:t>n milieu basique, l’EDTA contient des ions Y</w:t>
      </w:r>
      <w:r w:rsidR="00866469" w:rsidRPr="0032131C">
        <w:rPr>
          <w:rFonts w:ascii="Arial" w:hAnsi="Arial" w:cs="Arial"/>
          <w:sz w:val="24"/>
          <w:szCs w:val="24"/>
          <w:vertAlign w:val="superscript"/>
        </w:rPr>
        <w:t>4−</w:t>
      </w:r>
      <w:r w:rsidR="00866469" w:rsidRPr="00866469">
        <w:rPr>
          <w:rFonts w:ascii="Arial" w:hAnsi="Arial" w:cs="Arial"/>
          <w:sz w:val="24"/>
          <w:szCs w:val="24"/>
        </w:rPr>
        <w:t xml:space="preserve"> (ions </w:t>
      </w:r>
      <w:proofErr w:type="spellStart"/>
      <w:r w:rsidR="00866469" w:rsidRPr="00866469">
        <w:rPr>
          <w:rFonts w:ascii="Arial" w:hAnsi="Arial" w:cs="Arial"/>
          <w:sz w:val="24"/>
          <w:szCs w:val="24"/>
        </w:rPr>
        <w:t>éthylènediaminetétraacétate</w:t>
      </w:r>
      <w:proofErr w:type="spellEnd"/>
      <w:r w:rsidR="00866469" w:rsidRPr="00866469">
        <w:rPr>
          <w:rFonts w:ascii="Arial" w:hAnsi="Arial" w:cs="Arial"/>
          <w:sz w:val="24"/>
          <w:szCs w:val="24"/>
        </w:rPr>
        <w:t>) qui</w:t>
      </w:r>
      <w:r>
        <w:rPr>
          <w:rFonts w:ascii="Arial" w:hAnsi="Arial" w:cs="Arial"/>
          <w:sz w:val="24"/>
          <w:szCs w:val="24"/>
        </w:rPr>
        <w:t xml:space="preserve"> </w:t>
      </w:r>
      <w:r w:rsidR="00866469" w:rsidRPr="00866469">
        <w:rPr>
          <w:rFonts w:ascii="Arial" w:hAnsi="Arial" w:cs="Arial"/>
          <w:sz w:val="24"/>
          <w:szCs w:val="24"/>
        </w:rPr>
        <w:t>réagissent avec les ions magnésium (Mg</w:t>
      </w:r>
      <w:r w:rsidR="00866469" w:rsidRPr="0032131C">
        <w:rPr>
          <w:rFonts w:ascii="Arial" w:hAnsi="Arial" w:cs="Arial"/>
          <w:sz w:val="24"/>
          <w:szCs w:val="24"/>
          <w:vertAlign w:val="superscript"/>
        </w:rPr>
        <w:t>2+</w:t>
      </w:r>
      <w:r w:rsidR="00866469" w:rsidRPr="00866469">
        <w:rPr>
          <w:rFonts w:ascii="Arial" w:hAnsi="Arial" w:cs="Arial"/>
          <w:sz w:val="24"/>
          <w:szCs w:val="24"/>
        </w:rPr>
        <w:t>) et avec les ions calcium (Ca</w:t>
      </w:r>
      <w:r w:rsidRPr="0032131C">
        <w:rPr>
          <w:rFonts w:ascii="Arial" w:hAnsi="Arial" w:cs="Arial"/>
          <w:sz w:val="24"/>
          <w:szCs w:val="24"/>
          <w:vertAlign w:val="superscript"/>
        </w:rPr>
        <w:t>2+</w:t>
      </w:r>
      <w:r w:rsidR="00866469" w:rsidRPr="00866469">
        <w:rPr>
          <w:rFonts w:ascii="Arial" w:hAnsi="Arial" w:cs="Arial"/>
          <w:sz w:val="24"/>
          <w:szCs w:val="24"/>
        </w:rPr>
        <w:t>). Ces</w:t>
      </w:r>
      <w:r>
        <w:rPr>
          <w:rFonts w:ascii="Arial" w:hAnsi="Arial" w:cs="Arial"/>
          <w:sz w:val="24"/>
          <w:szCs w:val="24"/>
        </w:rPr>
        <w:t xml:space="preserve"> </w:t>
      </w:r>
      <w:r w:rsidR="00866469" w:rsidRPr="00866469">
        <w:rPr>
          <w:rFonts w:ascii="Arial" w:hAnsi="Arial" w:cs="Arial"/>
          <w:sz w:val="24"/>
          <w:szCs w:val="24"/>
        </w:rPr>
        <w:t>transformations chimiques sont modélisables par deux réactions représentées par les</w:t>
      </w:r>
      <w:r>
        <w:rPr>
          <w:rFonts w:ascii="Arial" w:hAnsi="Arial" w:cs="Arial"/>
          <w:sz w:val="24"/>
          <w:szCs w:val="24"/>
        </w:rPr>
        <w:t xml:space="preserve"> </w:t>
      </w:r>
      <w:r w:rsidR="00866469" w:rsidRPr="00866469">
        <w:rPr>
          <w:rFonts w:ascii="Arial" w:hAnsi="Arial" w:cs="Arial"/>
          <w:sz w:val="24"/>
          <w:szCs w:val="24"/>
        </w:rPr>
        <w:t>équations suivantes</w:t>
      </w:r>
      <w:r>
        <w:rPr>
          <w:rFonts w:ascii="Arial" w:hAnsi="Arial" w:cs="Arial"/>
          <w:sz w:val="24"/>
          <w:szCs w:val="24"/>
        </w:rPr>
        <w:t> :</w:t>
      </w:r>
    </w:p>
    <w:p w14:paraId="58300657" w14:textId="0E4C9445" w:rsidR="00866469" w:rsidRPr="00866469" w:rsidRDefault="00866469" w:rsidP="004C4BFB">
      <w:pPr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Mg</w:t>
      </w:r>
      <w:r w:rsidR="0032131C" w:rsidRPr="0032131C">
        <w:rPr>
          <w:rFonts w:ascii="Arial" w:hAnsi="Arial" w:cs="Arial"/>
          <w:sz w:val="24"/>
          <w:szCs w:val="24"/>
          <w:vertAlign w:val="superscript"/>
        </w:rPr>
        <w:t>2+</w:t>
      </w:r>
      <w:r w:rsidRPr="00866469">
        <w:rPr>
          <w:rFonts w:ascii="Arial" w:hAnsi="Arial" w:cs="Arial"/>
          <w:sz w:val="24"/>
          <w:szCs w:val="24"/>
        </w:rPr>
        <w:t xml:space="preserve">(aq) + </w:t>
      </w:r>
      <w:r w:rsidR="0032131C" w:rsidRPr="00866469">
        <w:rPr>
          <w:rFonts w:ascii="Arial" w:hAnsi="Arial" w:cs="Arial"/>
          <w:sz w:val="24"/>
          <w:szCs w:val="24"/>
        </w:rPr>
        <w:t>Y</w:t>
      </w:r>
      <w:r w:rsidR="0032131C" w:rsidRPr="0032131C">
        <w:rPr>
          <w:rFonts w:ascii="Arial" w:hAnsi="Arial" w:cs="Arial"/>
          <w:sz w:val="24"/>
          <w:szCs w:val="24"/>
          <w:vertAlign w:val="superscript"/>
        </w:rPr>
        <w:t>4−</w:t>
      </w:r>
      <w:r w:rsidR="0032131C" w:rsidRPr="00866469"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 xml:space="preserve">(aq) </w:t>
      </w:r>
      <w:r w:rsidR="0032131C">
        <w:rPr>
          <w:rFonts w:ascii="Arial" w:hAnsi="Arial" w:cs="Arial"/>
          <w:sz w:val="24"/>
          <w:szCs w:val="24"/>
        </w:rPr>
        <w:sym w:font="Symbol" w:char="F0AE"/>
      </w:r>
      <w:r w:rsidRPr="00866469">
        <w:rPr>
          <w:rFonts w:ascii="Arial" w:hAnsi="Arial" w:cs="Arial"/>
          <w:sz w:val="24"/>
          <w:szCs w:val="24"/>
        </w:rPr>
        <w:t xml:space="preserve"> MgY</w:t>
      </w:r>
      <w:r w:rsidR="0032131C">
        <w:rPr>
          <w:rFonts w:ascii="Arial" w:hAnsi="Arial" w:cs="Arial"/>
          <w:sz w:val="24"/>
          <w:szCs w:val="24"/>
          <w:vertAlign w:val="superscript"/>
        </w:rPr>
        <w:t>2-</w:t>
      </w:r>
      <w:r w:rsidRPr="00866469">
        <w:rPr>
          <w:rFonts w:ascii="Arial" w:hAnsi="Arial" w:cs="Arial"/>
          <w:sz w:val="24"/>
          <w:szCs w:val="24"/>
        </w:rPr>
        <w:t xml:space="preserve"> (aq)</w:t>
      </w:r>
    </w:p>
    <w:p w14:paraId="45702B38" w14:textId="71A313A4" w:rsidR="00866469" w:rsidRDefault="00866469" w:rsidP="004C4BFB">
      <w:pPr>
        <w:spacing w:before="120"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Ca</w:t>
      </w:r>
      <w:r w:rsidR="0032131C" w:rsidRPr="0032131C">
        <w:rPr>
          <w:rFonts w:ascii="Arial" w:hAnsi="Arial" w:cs="Arial"/>
          <w:sz w:val="24"/>
          <w:szCs w:val="24"/>
          <w:vertAlign w:val="superscript"/>
        </w:rPr>
        <w:t>2+</w:t>
      </w:r>
      <w:r w:rsidRPr="00866469">
        <w:rPr>
          <w:rFonts w:ascii="Arial" w:hAnsi="Arial" w:cs="Arial"/>
          <w:sz w:val="24"/>
          <w:szCs w:val="24"/>
        </w:rPr>
        <w:t xml:space="preserve">(aq) + </w:t>
      </w:r>
      <w:r w:rsidR="0032131C" w:rsidRPr="00866469">
        <w:rPr>
          <w:rFonts w:ascii="Arial" w:hAnsi="Arial" w:cs="Arial"/>
          <w:sz w:val="24"/>
          <w:szCs w:val="24"/>
        </w:rPr>
        <w:t>Y</w:t>
      </w:r>
      <w:r w:rsidR="0032131C" w:rsidRPr="0032131C">
        <w:rPr>
          <w:rFonts w:ascii="Arial" w:hAnsi="Arial" w:cs="Arial"/>
          <w:sz w:val="24"/>
          <w:szCs w:val="24"/>
          <w:vertAlign w:val="superscript"/>
        </w:rPr>
        <w:t>4−</w:t>
      </w:r>
      <w:r w:rsidRPr="00866469">
        <w:rPr>
          <w:rFonts w:ascii="Arial" w:hAnsi="Arial" w:cs="Arial"/>
          <w:sz w:val="24"/>
          <w:szCs w:val="24"/>
        </w:rPr>
        <w:t xml:space="preserve">(aq) </w:t>
      </w:r>
      <w:r w:rsidR="0032131C">
        <w:rPr>
          <w:rFonts w:ascii="Arial" w:hAnsi="Arial" w:cs="Arial"/>
          <w:sz w:val="24"/>
          <w:szCs w:val="24"/>
        </w:rPr>
        <w:sym w:font="Symbol" w:char="F0AE"/>
      </w:r>
      <w:r w:rsidRPr="00866469">
        <w:rPr>
          <w:rFonts w:ascii="Arial" w:hAnsi="Arial" w:cs="Arial"/>
          <w:sz w:val="24"/>
          <w:szCs w:val="24"/>
        </w:rPr>
        <w:t xml:space="preserve"> CaY</w:t>
      </w:r>
      <w:r w:rsidR="0032131C">
        <w:rPr>
          <w:rFonts w:ascii="Arial" w:hAnsi="Arial" w:cs="Arial"/>
          <w:sz w:val="24"/>
          <w:szCs w:val="24"/>
          <w:vertAlign w:val="superscript"/>
        </w:rPr>
        <w:t>2-</w:t>
      </w:r>
      <w:r w:rsidRPr="00866469">
        <w:rPr>
          <w:rFonts w:ascii="Arial" w:hAnsi="Arial" w:cs="Arial"/>
          <w:sz w:val="24"/>
          <w:szCs w:val="24"/>
        </w:rPr>
        <w:t xml:space="preserve"> (aq)</w:t>
      </w:r>
    </w:p>
    <w:p w14:paraId="15CA2E2C" w14:textId="77777777" w:rsidR="00760ABB" w:rsidRPr="00866469" w:rsidRDefault="00760ABB" w:rsidP="00760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36E798" w14:textId="35BB38C6" w:rsidR="00866469" w:rsidRPr="00760ABB" w:rsidRDefault="00866469" w:rsidP="00760ABB">
      <w:pPr>
        <w:pStyle w:val="Paragraphedeliste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60ABB">
        <w:rPr>
          <w:rFonts w:ascii="Arial" w:hAnsi="Arial" w:cs="Arial"/>
          <w:sz w:val="24"/>
          <w:szCs w:val="24"/>
        </w:rPr>
        <w:t>Méthode de détermination de la concentration en ions calcium</w:t>
      </w:r>
    </w:p>
    <w:p w14:paraId="03EB4733" w14:textId="77777777" w:rsidR="00760ABB" w:rsidRDefault="00866469" w:rsidP="00760ABB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La concentration en ions calcium d’une eau est déterminée grâce à un titrage par l’EDTA,</w:t>
      </w:r>
      <w:r w:rsidR="00760ABB"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 xml:space="preserve">à un </w:t>
      </w:r>
      <w:r w:rsidR="00760ABB" w:rsidRPr="0032131C">
        <w:rPr>
          <w:rFonts w:ascii="Arial" w:hAnsi="Arial" w:cs="Arial"/>
          <w:i/>
          <w:iCs/>
          <w:sz w:val="24"/>
          <w:szCs w:val="24"/>
        </w:rPr>
        <w:t>pH</w:t>
      </w:r>
      <w:r w:rsidRPr="00866469">
        <w:rPr>
          <w:rFonts w:ascii="Arial" w:hAnsi="Arial" w:cs="Arial"/>
          <w:sz w:val="24"/>
          <w:szCs w:val="24"/>
        </w:rPr>
        <w:t xml:space="preserve"> supérieur à 12, en présence d’un indicateur coloré de fin de réaction. Dans ce</w:t>
      </w:r>
      <w:r w:rsidR="00760ABB"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 xml:space="preserve">domaine de </w:t>
      </w:r>
      <w:r w:rsidR="00760ABB" w:rsidRPr="0032131C">
        <w:rPr>
          <w:rFonts w:ascii="Arial" w:hAnsi="Arial" w:cs="Arial"/>
          <w:i/>
          <w:iCs/>
          <w:sz w:val="24"/>
          <w:szCs w:val="24"/>
        </w:rPr>
        <w:t>pH</w:t>
      </w:r>
      <w:r w:rsidRPr="00866469">
        <w:rPr>
          <w:rFonts w:ascii="Arial" w:hAnsi="Arial" w:cs="Arial"/>
          <w:sz w:val="24"/>
          <w:szCs w:val="24"/>
        </w:rPr>
        <w:t>, les ions magnésium forment un précipité.</w:t>
      </w:r>
    </w:p>
    <w:p w14:paraId="23E230DF" w14:textId="77777777" w:rsidR="00760ABB" w:rsidRDefault="00866469" w:rsidP="00760ABB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 xml:space="preserve">La concentration de la solution d’EDTA utilisée est </w:t>
      </w:r>
      <w:r w:rsidR="00760ABB" w:rsidRPr="0032131C">
        <w:rPr>
          <w:rFonts w:ascii="Arial" w:hAnsi="Arial" w:cs="Arial"/>
          <w:i/>
          <w:iCs/>
          <w:sz w:val="24"/>
          <w:szCs w:val="24"/>
        </w:rPr>
        <w:t>c</w:t>
      </w:r>
      <w:r w:rsidR="00760ABB" w:rsidRPr="00866469">
        <w:rPr>
          <w:rFonts w:ascii="Arial" w:hAnsi="Arial" w:cs="Arial"/>
          <w:sz w:val="24"/>
          <w:szCs w:val="24"/>
        </w:rPr>
        <w:t xml:space="preserve"> = 1,0 × 10</w:t>
      </w:r>
      <w:r w:rsidR="00760ABB" w:rsidRPr="0032131C">
        <w:rPr>
          <w:rFonts w:ascii="Arial" w:hAnsi="Arial" w:cs="Arial"/>
          <w:sz w:val="24"/>
          <w:szCs w:val="24"/>
          <w:vertAlign w:val="superscript"/>
        </w:rPr>
        <w:t>-</w:t>
      </w:r>
      <w:r w:rsidR="00760ABB">
        <w:rPr>
          <w:rFonts w:ascii="Arial" w:hAnsi="Arial" w:cs="Arial"/>
          <w:sz w:val="24"/>
          <w:szCs w:val="24"/>
          <w:vertAlign w:val="superscript"/>
        </w:rPr>
        <w:t>2</w:t>
      </w:r>
      <w:r w:rsidR="00760ABB" w:rsidRPr="00866469">
        <w:rPr>
          <w:rFonts w:ascii="Arial" w:hAnsi="Arial" w:cs="Arial"/>
          <w:sz w:val="24"/>
          <w:szCs w:val="24"/>
        </w:rPr>
        <w:t xml:space="preserve"> mol</w:t>
      </w:r>
      <w:r w:rsidR="00760ABB" w:rsidRPr="00866469">
        <w:rPr>
          <w:rFonts w:ascii="Cambria Math" w:hAnsi="Cambria Math" w:cs="Cambria Math"/>
          <w:sz w:val="24"/>
          <w:szCs w:val="24"/>
        </w:rPr>
        <w:t>⋅</w:t>
      </w:r>
      <w:r w:rsidR="00760ABB" w:rsidRPr="00866469">
        <w:rPr>
          <w:rFonts w:ascii="Arial" w:hAnsi="Arial" w:cs="Arial"/>
          <w:sz w:val="24"/>
          <w:szCs w:val="24"/>
        </w:rPr>
        <w:t>L</w:t>
      </w:r>
      <w:r w:rsidR="00760ABB" w:rsidRPr="0032131C">
        <w:rPr>
          <w:rFonts w:ascii="Arial" w:hAnsi="Arial" w:cs="Arial"/>
          <w:sz w:val="24"/>
          <w:szCs w:val="24"/>
          <w:vertAlign w:val="superscript"/>
        </w:rPr>
        <w:t>-1</w:t>
      </w:r>
      <w:r w:rsidR="00760ABB" w:rsidRPr="00866469">
        <w:rPr>
          <w:rFonts w:ascii="Arial" w:hAnsi="Arial" w:cs="Arial"/>
          <w:sz w:val="24"/>
          <w:szCs w:val="24"/>
        </w:rPr>
        <w:t>.</w:t>
      </w:r>
    </w:p>
    <w:p w14:paraId="5159E1B7" w14:textId="6107EDC1" w:rsidR="00866469" w:rsidRPr="00866469" w:rsidRDefault="00866469" w:rsidP="00760ABB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La réaction, support du titrage, modélisant la transformation s’écrit</w:t>
      </w:r>
      <w:r w:rsidR="00760ABB">
        <w:rPr>
          <w:rFonts w:ascii="Arial" w:hAnsi="Arial" w:cs="Arial"/>
          <w:sz w:val="24"/>
          <w:szCs w:val="24"/>
        </w:rPr>
        <w:t> :</w:t>
      </w:r>
    </w:p>
    <w:p w14:paraId="793BE566" w14:textId="3EBCE9DB" w:rsidR="001E5E12" w:rsidRDefault="00760ABB" w:rsidP="004C4BFB">
      <w:pPr>
        <w:spacing w:before="120"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Ca</w:t>
      </w:r>
      <w:r w:rsidRPr="0032131C">
        <w:rPr>
          <w:rFonts w:ascii="Arial" w:hAnsi="Arial" w:cs="Arial"/>
          <w:sz w:val="24"/>
          <w:szCs w:val="24"/>
          <w:vertAlign w:val="superscript"/>
        </w:rPr>
        <w:t>2+</w:t>
      </w:r>
      <w:r w:rsidRPr="00866469">
        <w:rPr>
          <w:rFonts w:ascii="Arial" w:hAnsi="Arial" w:cs="Arial"/>
          <w:sz w:val="24"/>
          <w:szCs w:val="24"/>
        </w:rPr>
        <w:t>(aq) + Y</w:t>
      </w:r>
      <w:r w:rsidRPr="0032131C">
        <w:rPr>
          <w:rFonts w:ascii="Arial" w:hAnsi="Arial" w:cs="Arial"/>
          <w:sz w:val="24"/>
          <w:szCs w:val="24"/>
          <w:vertAlign w:val="superscript"/>
        </w:rPr>
        <w:t>4−</w:t>
      </w:r>
      <w:r w:rsidRPr="00866469">
        <w:rPr>
          <w:rFonts w:ascii="Arial" w:hAnsi="Arial" w:cs="Arial"/>
          <w:sz w:val="24"/>
          <w:szCs w:val="24"/>
        </w:rPr>
        <w:t xml:space="preserve">(aq) </w:t>
      </w:r>
      <w:r>
        <w:rPr>
          <w:rFonts w:ascii="Arial" w:hAnsi="Arial" w:cs="Arial"/>
          <w:sz w:val="24"/>
          <w:szCs w:val="24"/>
        </w:rPr>
        <w:sym w:font="Symbol" w:char="F0AE"/>
      </w:r>
      <w:r w:rsidRPr="00866469">
        <w:rPr>
          <w:rFonts w:ascii="Arial" w:hAnsi="Arial" w:cs="Arial"/>
          <w:sz w:val="24"/>
          <w:szCs w:val="24"/>
        </w:rPr>
        <w:t xml:space="preserve"> CaY</w:t>
      </w:r>
      <w:r>
        <w:rPr>
          <w:rFonts w:ascii="Arial" w:hAnsi="Arial" w:cs="Arial"/>
          <w:sz w:val="24"/>
          <w:szCs w:val="24"/>
          <w:vertAlign w:val="superscript"/>
        </w:rPr>
        <w:t>2-</w:t>
      </w:r>
      <w:r w:rsidRPr="00866469">
        <w:rPr>
          <w:rFonts w:ascii="Arial" w:hAnsi="Arial" w:cs="Arial"/>
          <w:sz w:val="24"/>
          <w:szCs w:val="24"/>
        </w:rPr>
        <w:t xml:space="preserve"> (aq)</w:t>
      </w: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6F16BB" w14:textId="72628362" w:rsidR="00866469" w:rsidRPr="00866469" w:rsidRDefault="00866469" w:rsidP="00866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lastRenderedPageBreak/>
        <w:t>Sur de l’eau obtenue après filtration avec une carafe munie de la cartouche «</w:t>
      </w:r>
      <w:r>
        <w:rPr>
          <w:rFonts w:ascii="Arial" w:hAnsi="Arial" w:cs="Arial"/>
          <w:sz w:val="24"/>
          <w:szCs w:val="24"/>
        </w:rPr>
        <w:t> </w:t>
      </w:r>
      <w:r w:rsidRPr="00866469">
        <w:rPr>
          <w:rFonts w:ascii="Arial" w:hAnsi="Arial" w:cs="Arial"/>
          <w:sz w:val="24"/>
          <w:szCs w:val="24"/>
        </w:rPr>
        <w:t>Edition Mg</w:t>
      </w:r>
      <w:r w:rsidRPr="00866469">
        <w:rPr>
          <w:rFonts w:ascii="Arial" w:hAnsi="Arial" w:cs="Arial"/>
          <w:sz w:val="24"/>
          <w:szCs w:val="24"/>
          <w:vertAlign w:val="superscript"/>
        </w:rPr>
        <w:t>2+</w:t>
      </w:r>
      <w:r>
        <w:rPr>
          <w:rFonts w:ascii="Arial" w:hAnsi="Arial" w:cs="Arial"/>
          <w:sz w:val="24"/>
          <w:szCs w:val="24"/>
        </w:rPr>
        <w:t> </w:t>
      </w:r>
      <w:r w:rsidRPr="00866469">
        <w:rPr>
          <w:rFonts w:ascii="Arial" w:hAnsi="Arial" w:cs="Arial"/>
          <w:sz w:val="24"/>
          <w:szCs w:val="24"/>
        </w:rPr>
        <w:t>», on</w:t>
      </w:r>
      <w:r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réalise les deux titrages décrits pour déterminer les concentrations des ions magnésium et calcium</w:t>
      </w:r>
      <w:r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d’une part et les ions calcium seuls d’autre part.</w:t>
      </w:r>
    </w:p>
    <w:p w14:paraId="14C7DFB9" w14:textId="14B401C8" w:rsidR="00866469" w:rsidRPr="00866469" w:rsidRDefault="00866469" w:rsidP="00866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Les deux titrages sont réalisés sur un volume </w:t>
      </w:r>
      <w:r w:rsidR="00760ABB" w:rsidRPr="00760ABB">
        <w:rPr>
          <w:rFonts w:ascii="Arial" w:hAnsi="Arial" w:cs="Arial"/>
          <w:i/>
          <w:iCs/>
          <w:sz w:val="24"/>
          <w:szCs w:val="24"/>
        </w:rPr>
        <w:t>V</w:t>
      </w:r>
      <w:r w:rsidRPr="00866469">
        <w:rPr>
          <w:rFonts w:ascii="Arial" w:hAnsi="Arial" w:cs="Arial"/>
          <w:sz w:val="24"/>
          <w:szCs w:val="24"/>
        </w:rPr>
        <w:t xml:space="preserve"> = 100,0 mL d’eau filtrée.</w:t>
      </w:r>
    </w:p>
    <w:p w14:paraId="52DE833D" w14:textId="40B839D8" w:rsidR="00866469" w:rsidRPr="00866469" w:rsidRDefault="00866469" w:rsidP="00760AB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 xml:space="preserve">Les résultats obtenus sont les </w:t>
      </w:r>
      <w:proofErr w:type="gramStart"/>
      <w:r w:rsidRPr="00866469">
        <w:rPr>
          <w:rFonts w:ascii="Arial" w:hAnsi="Arial" w:cs="Arial"/>
          <w:sz w:val="24"/>
          <w:szCs w:val="24"/>
        </w:rPr>
        <w:t>suivants </w:t>
      </w:r>
      <w:r w:rsidR="0032131C">
        <w:rPr>
          <w:rFonts w:ascii="Arial" w:hAnsi="Arial" w:cs="Arial"/>
          <w:sz w:val="24"/>
          <w:szCs w:val="24"/>
        </w:rPr>
        <w:t> :</w:t>
      </w:r>
      <w:proofErr w:type="gramEnd"/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81"/>
        <w:gridCol w:w="1407"/>
      </w:tblGrid>
      <w:tr w:rsidR="00760ABB" w14:paraId="15D56776" w14:textId="77777777" w:rsidTr="00760ABB">
        <w:trPr>
          <w:trHeight w:val="397"/>
        </w:trPr>
        <w:tc>
          <w:tcPr>
            <w:tcW w:w="8781" w:type="dxa"/>
            <w:vAlign w:val="center"/>
          </w:tcPr>
          <w:p w14:paraId="3B6DF574" w14:textId="03D3D49A" w:rsidR="00760ABB" w:rsidRDefault="00760ABB" w:rsidP="00760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469">
              <w:rPr>
                <w:rFonts w:ascii="Arial" w:hAnsi="Arial" w:cs="Arial"/>
                <w:sz w:val="24"/>
                <w:szCs w:val="24"/>
              </w:rPr>
              <w:t>Volumes d’EDTA versés</w:t>
            </w:r>
          </w:p>
        </w:tc>
        <w:tc>
          <w:tcPr>
            <w:tcW w:w="1407" w:type="dxa"/>
            <w:vAlign w:val="center"/>
          </w:tcPr>
          <w:p w14:paraId="046E4839" w14:textId="2A728C50" w:rsidR="00760ABB" w:rsidRDefault="00760ABB" w:rsidP="00760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469">
              <w:rPr>
                <w:rFonts w:ascii="Arial" w:hAnsi="Arial" w:cs="Arial"/>
                <w:sz w:val="24"/>
                <w:szCs w:val="24"/>
              </w:rPr>
              <w:t>Eau filtrée</w:t>
            </w:r>
          </w:p>
        </w:tc>
      </w:tr>
      <w:tr w:rsidR="00760ABB" w14:paraId="1FFB45F8" w14:textId="77777777" w:rsidTr="00760ABB">
        <w:trPr>
          <w:trHeight w:val="680"/>
        </w:trPr>
        <w:tc>
          <w:tcPr>
            <w:tcW w:w="8781" w:type="dxa"/>
            <w:vAlign w:val="center"/>
          </w:tcPr>
          <w:p w14:paraId="36EEC88C" w14:textId="69C39BD0" w:rsidR="00760ABB" w:rsidRDefault="00760ABB" w:rsidP="00760ABB">
            <w:pPr>
              <w:rPr>
                <w:rFonts w:ascii="Arial" w:hAnsi="Arial" w:cs="Arial"/>
                <w:sz w:val="24"/>
                <w:szCs w:val="24"/>
              </w:rPr>
            </w:pPr>
            <w:r w:rsidRPr="00866469">
              <w:rPr>
                <w:rFonts w:ascii="Arial" w:hAnsi="Arial" w:cs="Arial"/>
                <w:sz w:val="24"/>
                <w:szCs w:val="24"/>
              </w:rPr>
              <w:t xml:space="preserve">Volume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V</w:t>
            </w:r>
            <w:r w:rsidRPr="00760ABB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E</w:t>
            </w:r>
            <w:r w:rsidRPr="00866469">
              <w:rPr>
                <w:rFonts w:ascii="Arial" w:hAnsi="Arial" w:cs="Arial"/>
                <w:sz w:val="24"/>
                <w:szCs w:val="24"/>
              </w:rPr>
              <w:t xml:space="preserve"> (en mL) d’EDTA versé pour atteindre l’équivalence lors du titrage 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6469">
              <w:rPr>
                <w:rFonts w:ascii="Arial" w:hAnsi="Arial" w:cs="Arial"/>
                <w:sz w:val="24"/>
                <w:szCs w:val="24"/>
              </w:rPr>
              <w:t>ions calcium</w:t>
            </w:r>
          </w:p>
        </w:tc>
        <w:tc>
          <w:tcPr>
            <w:tcW w:w="1407" w:type="dxa"/>
            <w:vAlign w:val="center"/>
          </w:tcPr>
          <w:p w14:paraId="019082EC" w14:textId="4AB683FB" w:rsidR="00760ABB" w:rsidRDefault="00760ABB" w:rsidP="00760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469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760ABB" w14:paraId="6935319C" w14:textId="77777777" w:rsidTr="00760ABB">
        <w:trPr>
          <w:trHeight w:val="680"/>
        </w:trPr>
        <w:tc>
          <w:tcPr>
            <w:tcW w:w="8781" w:type="dxa"/>
            <w:vAlign w:val="center"/>
          </w:tcPr>
          <w:p w14:paraId="05B7F159" w14:textId="636E41B7" w:rsidR="00760ABB" w:rsidRDefault="00760ABB" w:rsidP="00760ABB">
            <w:pPr>
              <w:rPr>
                <w:rFonts w:ascii="Arial" w:hAnsi="Arial" w:cs="Arial"/>
                <w:sz w:val="24"/>
                <w:szCs w:val="24"/>
              </w:rPr>
            </w:pPr>
            <w:r w:rsidRPr="00866469">
              <w:rPr>
                <w:rFonts w:ascii="Arial" w:hAnsi="Arial" w:cs="Arial"/>
                <w:sz w:val="24"/>
                <w:szCs w:val="24"/>
              </w:rPr>
              <w:t xml:space="preserve">Volume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V</w:t>
            </w:r>
            <w:r w:rsidRPr="00760ABB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E</w:t>
            </w:r>
            <w:r w:rsidRPr="00866469">
              <w:rPr>
                <w:rFonts w:ascii="Arial" w:hAnsi="Arial" w:cs="Arial"/>
                <w:sz w:val="24"/>
                <w:szCs w:val="24"/>
              </w:rPr>
              <w:t xml:space="preserve"> (en mL) d’EDTA versé pour atteindre l’équivalence lors du titrage des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6469">
              <w:rPr>
                <w:rFonts w:ascii="Arial" w:hAnsi="Arial" w:cs="Arial"/>
                <w:sz w:val="24"/>
                <w:szCs w:val="24"/>
              </w:rPr>
              <w:t>ions magnésium et des ions calcium</w:t>
            </w:r>
          </w:p>
        </w:tc>
        <w:tc>
          <w:tcPr>
            <w:tcW w:w="1407" w:type="dxa"/>
            <w:vAlign w:val="center"/>
          </w:tcPr>
          <w:p w14:paraId="7CB28F6D" w14:textId="404C8FA7" w:rsidR="00760ABB" w:rsidRDefault="00760ABB" w:rsidP="00760A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469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</w:tr>
    </w:tbl>
    <w:p w14:paraId="4382E3BD" w14:textId="77777777" w:rsidR="00866469" w:rsidRDefault="00866469" w:rsidP="001472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F5F97" w14:textId="60EC506D" w:rsidR="00866469" w:rsidRDefault="00866469" w:rsidP="0086646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Pr="00BA4E87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866469">
        <w:rPr>
          <w:rFonts w:ascii="Arial" w:hAnsi="Arial" w:cs="Arial"/>
          <w:sz w:val="24"/>
          <w:szCs w:val="24"/>
        </w:rPr>
        <w:t>Réaliser le schéma légendé du montage permettant de réaliser le titrage des ions calcium</w:t>
      </w:r>
      <w:r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présents dans une eau.</w:t>
      </w:r>
    </w:p>
    <w:p w14:paraId="61CC05B8" w14:textId="77777777" w:rsidR="003D2124" w:rsidRPr="001E5E12" w:rsidRDefault="003D2124" w:rsidP="001E5E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D7DAD" w14:textId="7C888630" w:rsidR="001E5E12" w:rsidRDefault="001E5E12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A4E87">
        <w:rPr>
          <w:rFonts w:ascii="Arial" w:hAnsi="Arial" w:cs="Arial"/>
          <w:b/>
          <w:bCs/>
          <w:sz w:val="24"/>
          <w:szCs w:val="24"/>
        </w:rPr>
        <w:t>2.</w:t>
      </w:r>
      <w:r w:rsidR="003D2124">
        <w:rPr>
          <w:rFonts w:ascii="Arial" w:hAnsi="Arial" w:cs="Arial"/>
          <w:sz w:val="24"/>
          <w:szCs w:val="24"/>
        </w:rPr>
        <w:tab/>
      </w:r>
      <w:r w:rsidR="00866469" w:rsidRPr="00866469">
        <w:rPr>
          <w:rFonts w:ascii="Arial" w:hAnsi="Arial" w:cs="Arial"/>
          <w:sz w:val="24"/>
          <w:szCs w:val="24"/>
        </w:rPr>
        <w:t xml:space="preserve">Pourquoi le titrage des ions calcium seuls est-il réalisé à un </w:t>
      </w:r>
      <w:r w:rsidR="00760ABB" w:rsidRPr="0032131C">
        <w:rPr>
          <w:rFonts w:ascii="Arial" w:hAnsi="Arial" w:cs="Arial"/>
          <w:i/>
          <w:iCs/>
          <w:sz w:val="24"/>
          <w:szCs w:val="24"/>
        </w:rPr>
        <w:t>pH</w:t>
      </w:r>
      <w:r w:rsidR="00866469" w:rsidRPr="00866469">
        <w:rPr>
          <w:rFonts w:ascii="Arial" w:hAnsi="Arial" w:cs="Arial"/>
          <w:sz w:val="24"/>
          <w:szCs w:val="24"/>
        </w:rPr>
        <w:t xml:space="preserve"> supérieur à 12</w:t>
      </w:r>
      <w:r w:rsidR="00760ABB">
        <w:rPr>
          <w:rFonts w:ascii="Arial" w:hAnsi="Arial" w:cs="Arial"/>
          <w:sz w:val="24"/>
          <w:szCs w:val="24"/>
        </w:rPr>
        <w:t> ?</w:t>
      </w:r>
    </w:p>
    <w:p w14:paraId="712518A0" w14:textId="77777777" w:rsidR="00BA4E87" w:rsidRPr="001E5E12" w:rsidRDefault="00BA4E87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A9EE11F" w14:textId="1F9E1E10" w:rsidR="001E5E12" w:rsidRDefault="001E5E12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A4E87">
        <w:rPr>
          <w:rFonts w:ascii="Arial" w:hAnsi="Arial" w:cs="Arial"/>
          <w:b/>
          <w:bCs/>
          <w:sz w:val="24"/>
          <w:szCs w:val="24"/>
        </w:rPr>
        <w:t>3.</w:t>
      </w:r>
      <w:r w:rsidR="003D2124">
        <w:rPr>
          <w:rFonts w:ascii="Arial" w:hAnsi="Arial" w:cs="Arial"/>
          <w:sz w:val="24"/>
          <w:szCs w:val="24"/>
        </w:rPr>
        <w:tab/>
      </w:r>
      <w:r w:rsidR="00866469" w:rsidRPr="00866469">
        <w:rPr>
          <w:rFonts w:ascii="Arial" w:hAnsi="Arial" w:cs="Arial"/>
          <w:sz w:val="24"/>
          <w:szCs w:val="24"/>
        </w:rPr>
        <w:t>Déterminer la concentration en quantité de matière en ions calcium de l’eau filtrée.</w:t>
      </w:r>
    </w:p>
    <w:p w14:paraId="07C01D37" w14:textId="77777777" w:rsidR="00BA4E87" w:rsidRPr="001E5E12" w:rsidRDefault="00BA4E87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7EC7EA6" w14:textId="666D06E9" w:rsidR="001E5E12" w:rsidRDefault="001E5E12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A4E87">
        <w:rPr>
          <w:rFonts w:ascii="Arial" w:hAnsi="Arial" w:cs="Arial"/>
          <w:b/>
          <w:bCs/>
          <w:sz w:val="24"/>
          <w:szCs w:val="24"/>
        </w:rPr>
        <w:t>4.</w:t>
      </w:r>
      <w:r w:rsidR="003D2124">
        <w:rPr>
          <w:rFonts w:ascii="Arial" w:hAnsi="Arial" w:cs="Arial"/>
          <w:sz w:val="24"/>
          <w:szCs w:val="24"/>
        </w:rPr>
        <w:tab/>
      </w:r>
      <w:r w:rsidR="00866469" w:rsidRPr="00866469">
        <w:rPr>
          <w:rFonts w:ascii="Arial" w:hAnsi="Arial" w:cs="Arial"/>
          <w:sz w:val="24"/>
          <w:szCs w:val="24"/>
        </w:rPr>
        <w:t>Montrer que la concentration en quantité de matière en ions magnésium est égale à</w:t>
      </w:r>
      <w:r w:rsidR="00866469">
        <w:rPr>
          <w:rFonts w:ascii="Arial" w:hAnsi="Arial" w:cs="Arial"/>
          <w:sz w:val="24"/>
          <w:szCs w:val="24"/>
        </w:rPr>
        <w:t xml:space="preserve"> </w:t>
      </w:r>
      <w:r w:rsidR="00866469" w:rsidRPr="00866469">
        <w:rPr>
          <w:rFonts w:ascii="Arial" w:hAnsi="Arial" w:cs="Arial"/>
          <w:sz w:val="24"/>
          <w:szCs w:val="24"/>
        </w:rPr>
        <w:t>0,20</w:t>
      </w:r>
      <w:r w:rsidR="00760ABB">
        <w:rPr>
          <w:rFonts w:ascii="Arial" w:hAnsi="Arial" w:cs="Arial"/>
          <w:sz w:val="24"/>
          <w:szCs w:val="24"/>
        </w:rPr>
        <w:t> </w:t>
      </w:r>
      <w:r w:rsidR="00866469" w:rsidRPr="00866469">
        <w:rPr>
          <w:rFonts w:ascii="Arial" w:hAnsi="Arial" w:cs="Arial"/>
          <w:sz w:val="24"/>
          <w:szCs w:val="24"/>
        </w:rPr>
        <w:t>mmol·L</w:t>
      </w:r>
      <w:r w:rsidR="00866469" w:rsidRPr="00760ABB">
        <w:rPr>
          <w:rFonts w:ascii="Arial" w:hAnsi="Arial" w:cs="Arial"/>
          <w:sz w:val="24"/>
          <w:szCs w:val="24"/>
          <w:vertAlign w:val="superscript"/>
        </w:rPr>
        <w:t>−1</w:t>
      </w:r>
      <w:r w:rsidR="00866469" w:rsidRPr="00866469">
        <w:rPr>
          <w:rFonts w:ascii="Arial" w:hAnsi="Arial" w:cs="Arial"/>
          <w:sz w:val="24"/>
          <w:szCs w:val="24"/>
        </w:rPr>
        <w:t>.</w:t>
      </w:r>
    </w:p>
    <w:p w14:paraId="204CAAF2" w14:textId="77777777" w:rsidR="00BA4E87" w:rsidRDefault="00BA4E87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34B2301" w14:textId="77777777" w:rsidR="00866469" w:rsidRDefault="00866469" w:rsidP="00760AB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66469">
        <w:rPr>
          <w:rFonts w:ascii="Arial" w:hAnsi="Arial" w:cs="Arial"/>
          <w:sz w:val="24"/>
          <w:szCs w:val="24"/>
        </w:rPr>
        <w:t>Un technicien de laboratoire procède à l’analyse de l’eau du robinet non filtrée et fournit les résultats</w:t>
      </w:r>
      <w:r>
        <w:rPr>
          <w:rFonts w:ascii="Arial" w:hAnsi="Arial" w:cs="Arial"/>
          <w:sz w:val="24"/>
          <w:szCs w:val="24"/>
        </w:rPr>
        <w:t xml:space="preserve"> </w:t>
      </w:r>
      <w:r w:rsidRPr="00866469">
        <w:rPr>
          <w:rFonts w:ascii="Arial" w:hAnsi="Arial" w:cs="Arial"/>
          <w:sz w:val="24"/>
          <w:szCs w:val="24"/>
        </w:rPr>
        <w:t>suivants</w:t>
      </w:r>
      <w:r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72"/>
        <w:gridCol w:w="2116"/>
      </w:tblGrid>
      <w:tr w:rsidR="00760ABB" w14:paraId="7E4C33C4" w14:textId="77777777" w:rsidTr="00760ABB">
        <w:trPr>
          <w:trHeight w:val="397"/>
        </w:trPr>
        <w:tc>
          <w:tcPr>
            <w:tcW w:w="8072" w:type="dxa"/>
            <w:vAlign w:val="center"/>
          </w:tcPr>
          <w:p w14:paraId="338EADEB" w14:textId="5C78737D" w:rsidR="00760ABB" w:rsidRDefault="00760ABB" w:rsidP="00EF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469">
              <w:rPr>
                <w:rFonts w:ascii="Arial" w:hAnsi="Arial" w:cs="Arial"/>
                <w:sz w:val="24"/>
                <w:szCs w:val="24"/>
              </w:rPr>
              <w:t>Concentrations en quantité de matière</w:t>
            </w:r>
          </w:p>
        </w:tc>
        <w:tc>
          <w:tcPr>
            <w:tcW w:w="2116" w:type="dxa"/>
            <w:vAlign w:val="center"/>
          </w:tcPr>
          <w:p w14:paraId="03B2D2C3" w14:textId="4BCA59EE" w:rsidR="00760ABB" w:rsidRDefault="00760ABB" w:rsidP="00EF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469">
              <w:rPr>
                <w:rFonts w:ascii="Arial" w:hAnsi="Arial" w:cs="Arial"/>
                <w:sz w:val="24"/>
                <w:szCs w:val="24"/>
              </w:rPr>
              <w:t>Eau non filtrée</w:t>
            </w:r>
          </w:p>
        </w:tc>
      </w:tr>
      <w:tr w:rsidR="00760ABB" w14:paraId="78B9EC49" w14:textId="77777777" w:rsidTr="00760ABB">
        <w:trPr>
          <w:trHeight w:val="680"/>
        </w:trPr>
        <w:tc>
          <w:tcPr>
            <w:tcW w:w="8072" w:type="dxa"/>
            <w:vAlign w:val="center"/>
          </w:tcPr>
          <w:p w14:paraId="4C6AD77F" w14:textId="4B510283" w:rsidR="00760ABB" w:rsidRDefault="00760ABB" w:rsidP="00EF7BF1">
            <w:pPr>
              <w:rPr>
                <w:rFonts w:ascii="Arial" w:hAnsi="Arial" w:cs="Arial"/>
                <w:sz w:val="24"/>
                <w:szCs w:val="24"/>
              </w:rPr>
            </w:pPr>
            <w:r w:rsidRPr="00866469">
              <w:rPr>
                <w:rFonts w:ascii="Arial" w:hAnsi="Arial" w:cs="Arial"/>
                <w:sz w:val="24"/>
                <w:szCs w:val="24"/>
              </w:rPr>
              <w:t>Concentration en quantité de matière des ions calcium</w:t>
            </w:r>
          </w:p>
        </w:tc>
        <w:tc>
          <w:tcPr>
            <w:tcW w:w="2116" w:type="dxa"/>
            <w:vAlign w:val="center"/>
          </w:tcPr>
          <w:p w14:paraId="39D9EF31" w14:textId="2246D0D4" w:rsidR="00760ABB" w:rsidRDefault="00760ABB" w:rsidP="00EF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469">
              <w:rPr>
                <w:rFonts w:ascii="Arial" w:hAnsi="Arial" w:cs="Arial"/>
                <w:sz w:val="24"/>
                <w:szCs w:val="24"/>
              </w:rPr>
              <w:t>2,2 mmol·L</w:t>
            </w:r>
            <w:r w:rsidRPr="00760ABB">
              <w:rPr>
                <w:rFonts w:ascii="Arial" w:hAnsi="Arial" w:cs="Arial"/>
                <w:sz w:val="24"/>
                <w:szCs w:val="24"/>
                <w:vertAlign w:val="superscript"/>
              </w:rPr>
              <w:t>−1</w:t>
            </w:r>
          </w:p>
        </w:tc>
      </w:tr>
      <w:tr w:rsidR="00760ABB" w14:paraId="58BC80C6" w14:textId="77777777" w:rsidTr="00760ABB">
        <w:trPr>
          <w:trHeight w:val="680"/>
        </w:trPr>
        <w:tc>
          <w:tcPr>
            <w:tcW w:w="8072" w:type="dxa"/>
            <w:vAlign w:val="center"/>
          </w:tcPr>
          <w:p w14:paraId="0FAAA349" w14:textId="32EF6594" w:rsidR="00760ABB" w:rsidRDefault="00760ABB" w:rsidP="00EF7BF1">
            <w:pPr>
              <w:rPr>
                <w:rFonts w:ascii="Arial" w:hAnsi="Arial" w:cs="Arial"/>
                <w:sz w:val="24"/>
                <w:szCs w:val="24"/>
              </w:rPr>
            </w:pPr>
            <w:r w:rsidRPr="00866469">
              <w:rPr>
                <w:rFonts w:ascii="Arial" w:hAnsi="Arial" w:cs="Arial"/>
                <w:sz w:val="24"/>
                <w:szCs w:val="24"/>
              </w:rPr>
              <w:t>Concentration en quantité de matière des ions calcium et magnésium</w:t>
            </w:r>
          </w:p>
        </w:tc>
        <w:tc>
          <w:tcPr>
            <w:tcW w:w="2116" w:type="dxa"/>
            <w:vAlign w:val="center"/>
          </w:tcPr>
          <w:p w14:paraId="2046D740" w14:textId="66E59514" w:rsidR="00760ABB" w:rsidRDefault="00760ABB" w:rsidP="00EF7B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469">
              <w:rPr>
                <w:rFonts w:ascii="Arial" w:hAnsi="Arial" w:cs="Arial"/>
                <w:sz w:val="24"/>
                <w:szCs w:val="24"/>
              </w:rPr>
              <w:t>2,3 mmol·L</w:t>
            </w:r>
            <w:r w:rsidRPr="00760ABB">
              <w:rPr>
                <w:rFonts w:ascii="Arial" w:hAnsi="Arial" w:cs="Arial"/>
                <w:sz w:val="24"/>
                <w:szCs w:val="24"/>
                <w:vertAlign w:val="superscript"/>
              </w:rPr>
              <w:t>−1</w:t>
            </w:r>
          </w:p>
        </w:tc>
      </w:tr>
    </w:tbl>
    <w:p w14:paraId="7CBB5BD9" w14:textId="77777777" w:rsidR="00866469" w:rsidRPr="001E5E12" w:rsidRDefault="00866469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46C3AE73" w14:textId="32CD38A3" w:rsidR="001E5E12" w:rsidRDefault="001E5E12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A4E87">
        <w:rPr>
          <w:rFonts w:ascii="Arial" w:hAnsi="Arial" w:cs="Arial"/>
          <w:b/>
          <w:bCs/>
          <w:sz w:val="24"/>
          <w:szCs w:val="24"/>
        </w:rPr>
        <w:t>5.</w:t>
      </w:r>
      <w:r w:rsidR="003D2124">
        <w:rPr>
          <w:rFonts w:ascii="Arial" w:hAnsi="Arial" w:cs="Arial"/>
          <w:sz w:val="24"/>
          <w:szCs w:val="24"/>
        </w:rPr>
        <w:tab/>
      </w:r>
      <w:r w:rsidR="00866469" w:rsidRPr="00866469">
        <w:rPr>
          <w:rFonts w:ascii="Arial" w:hAnsi="Arial" w:cs="Arial"/>
          <w:sz w:val="24"/>
          <w:szCs w:val="24"/>
        </w:rPr>
        <w:t>Les résultats obtenus sont-ils en accord avec les propriétés annoncées pour la carafe filtrante</w:t>
      </w:r>
      <w:r w:rsidR="00866469">
        <w:rPr>
          <w:rFonts w:ascii="Arial" w:hAnsi="Arial" w:cs="Arial"/>
          <w:sz w:val="24"/>
          <w:szCs w:val="24"/>
        </w:rPr>
        <w:t xml:space="preserve"> </w:t>
      </w:r>
      <w:r w:rsidR="00866469" w:rsidRPr="00866469">
        <w:rPr>
          <w:rFonts w:ascii="Arial" w:hAnsi="Arial" w:cs="Arial"/>
          <w:sz w:val="24"/>
          <w:szCs w:val="24"/>
        </w:rPr>
        <w:t>munie de la cartouche «</w:t>
      </w:r>
      <w:r w:rsidR="00866469">
        <w:rPr>
          <w:rFonts w:ascii="Arial" w:hAnsi="Arial" w:cs="Arial"/>
          <w:sz w:val="24"/>
          <w:szCs w:val="24"/>
        </w:rPr>
        <w:t> </w:t>
      </w:r>
      <w:r w:rsidR="00866469" w:rsidRPr="00866469">
        <w:rPr>
          <w:rFonts w:ascii="Arial" w:hAnsi="Arial" w:cs="Arial"/>
          <w:sz w:val="24"/>
          <w:szCs w:val="24"/>
        </w:rPr>
        <w:t>Edition Mg</w:t>
      </w:r>
      <w:r w:rsidR="00866469" w:rsidRPr="00866469">
        <w:rPr>
          <w:rFonts w:ascii="Arial" w:hAnsi="Arial" w:cs="Arial"/>
          <w:sz w:val="24"/>
          <w:szCs w:val="24"/>
          <w:vertAlign w:val="superscript"/>
        </w:rPr>
        <w:t>2+</w:t>
      </w:r>
      <w:r w:rsidR="00866469">
        <w:rPr>
          <w:rFonts w:ascii="Arial" w:hAnsi="Arial" w:cs="Arial"/>
          <w:sz w:val="24"/>
          <w:szCs w:val="24"/>
        </w:rPr>
        <w:t> </w:t>
      </w:r>
      <w:r w:rsidR="00866469" w:rsidRPr="00866469">
        <w:rPr>
          <w:rFonts w:ascii="Arial" w:hAnsi="Arial" w:cs="Arial"/>
          <w:sz w:val="24"/>
          <w:szCs w:val="24"/>
        </w:rPr>
        <w:t>»</w:t>
      </w:r>
      <w:r w:rsidR="00866469">
        <w:rPr>
          <w:rFonts w:ascii="Arial" w:hAnsi="Arial" w:cs="Arial"/>
          <w:sz w:val="24"/>
          <w:szCs w:val="24"/>
        </w:rPr>
        <w:t> ?</w:t>
      </w:r>
    </w:p>
    <w:p w14:paraId="10EECD34" w14:textId="77777777" w:rsidR="00BA4E87" w:rsidRPr="001E5E12" w:rsidRDefault="00BA4E87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72AA8BE2" w14:textId="0EE54D77" w:rsidR="001E5E12" w:rsidRPr="0014723E" w:rsidRDefault="001E5E12" w:rsidP="00BA4E8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A4E87">
        <w:rPr>
          <w:rFonts w:ascii="Arial" w:hAnsi="Arial" w:cs="Arial"/>
          <w:b/>
          <w:bCs/>
          <w:sz w:val="24"/>
          <w:szCs w:val="24"/>
        </w:rPr>
        <w:t>6.</w:t>
      </w:r>
      <w:r w:rsidR="003D2124">
        <w:rPr>
          <w:rFonts w:ascii="Arial" w:hAnsi="Arial" w:cs="Arial"/>
          <w:sz w:val="24"/>
          <w:szCs w:val="24"/>
        </w:rPr>
        <w:tab/>
      </w:r>
      <w:r w:rsidR="00866469" w:rsidRPr="00866469">
        <w:rPr>
          <w:rFonts w:ascii="Arial" w:hAnsi="Arial" w:cs="Arial"/>
          <w:sz w:val="24"/>
          <w:szCs w:val="24"/>
        </w:rPr>
        <w:t>Un adulte de masse 70 kg peut-il couvrir ses besoins journaliers en magnésium en</w:t>
      </w:r>
      <w:r w:rsidR="00866469">
        <w:rPr>
          <w:rFonts w:ascii="Arial" w:hAnsi="Arial" w:cs="Arial"/>
          <w:sz w:val="24"/>
          <w:szCs w:val="24"/>
        </w:rPr>
        <w:t xml:space="preserve"> </w:t>
      </w:r>
      <w:r w:rsidR="00866469" w:rsidRPr="00866469">
        <w:rPr>
          <w:rFonts w:ascii="Arial" w:hAnsi="Arial" w:cs="Arial"/>
          <w:sz w:val="24"/>
          <w:szCs w:val="24"/>
        </w:rPr>
        <w:t>consommant uniquement de l’eau filtrée</w:t>
      </w:r>
      <w:r w:rsidR="00866469">
        <w:rPr>
          <w:rFonts w:ascii="Arial" w:hAnsi="Arial" w:cs="Arial"/>
          <w:sz w:val="24"/>
          <w:szCs w:val="24"/>
        </w:rPr>
        <w:t> ?</w:t>
      </w:r>
    </w:p>
    <w:sectPr w:rsidR="001E5E12" w:rsidRPr="0014723E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B232D"/>
    <w:multiLevelType w:val="hybridMultilevel"/>
    <w:tmpl w:val="F550B3CE"/>
    <w:lvl w:ilvl="0" w:tplc="A0E4D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57FFE"/>
    <w:multiLevelType w:val="hybridMultilevel"/>
    <w:tmpl w:val="2604E68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37D07"/>
    <w:multiLevelType w:val="hybridMultilevel"/>
    <w:tmpl w:val="98765240"/>
    <w:lvl w:ilvl="0" w:tplc="4EAEE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A58E7"/>
    <w:multiLevelType w:val="hybridMultilevel"/>
    <w:tmpl w:val="D5F499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A48A6"/>
    <w:multiLevelType w:val="hybridMultilevel"/>
    <w:tmpl w:val="7DACAB5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15E68"/>
    <w:multiLevelType w:val="hybridMultilevel"/>
    <w:tmpl w:val="177430C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01FA1"/>
    <w:multiLevelType w:val="hybridMultilevel"/>
    <w:tmpl w:val="60C6FAC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255F4"/>
    <w:multiLevelType w:val="hybridMultilevel"/>
    <w:tmpl w:val="1436B83C"/>
    <w:lvl w:ilvl="0" w:tplc="C4D6F2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E79EB"/>
    <w:multiLevelType w:val="hybridMultilevel"/>
    <w:tmpl w:val="D1FA207C"/>
    <w:lvl w:ilvl="0" w:tplc="0DBA04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559B"/>
    <w:multiLevelType w:val="hybridMultilevel"/>
    <w:tmpl w:val="0324F9C6"/>
    <w:lvl w:ilvl="0" w:tplc="CAA4744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9"/>
  </w:num>
  <w:num w:numId="2" w16cid:durableId="147598150">
    <w:abstractNumId w:val="20"/>
  </w:num>
  <w:num w:numId="3" w16cid:durableId="1043673191">
    <w:abstractNumId w:val="2"/>
  </w:num>
  <w:num w:numId="4" w16cid:durableId="1554997379">
    <w:abstractNumId w:val="4"/>
  </w:num>
  <w:num w:numId="5" w16cid:durableId="1774783699">
    <w:abstractNumId w:val="9"/>
  </w:num>
  <w:num w:numId="6" w16cid:durableId="1209610847">
    <w:abstractNumId w:val="3"/>
  </w:num>
  <w:num w:numId="7" w16cid:durableId="1069693144">
    <w:abstractNumId w:val="18"/>
  </w:num>
  <w:num w:numId="8" w16cid:durableId="2051689700">
    <w:abstractNumId w:val="13"/>
  </w:num>
  <w:num w:numId="9" w16cid:durableId="216749121">
    <w:abstractNumId w:val="0"/>
  </w:num>
  <w:num w:numId="10" w16cid:durableId="745884451">
    <w:abstractNumId w:val="11"/>
  </w:num>
  <w:num w:numId="11" w16cid:durableId="1463964506">
    <w:abstractNumId w:val="21"/>
  </w:num>
  <w:num w:numId="12" w16cid:durableId="1430850099">
    <w:abstractNumId w:val="1"/>
  </w:num>
  <w:num w:numId="13" w16cid:durableId="1409183976">
    <w:abstractNumId w:val="10"/>
  </w:num>
  <w:num w:numId="14" w16cid:durableId="1580214509">
    <w:abstractNumId w:val="5"/>
  </w:num>
  <w:num w:numId="15" w16cid:durableId="260067062">
    <w:abstractNumId w:val="16"/>
  </w:num>
  <w:num w:numId="16" w16cid:durableId="1793474733">
    <w:abstractNumId w:val="8"/>
  </w:num>
  <w:num w:numId="17" w16cid:durableId="296224111">
    <w:abstractNumId w:val="6"/>
  </w:num>
  <w:num w:numId="18" w16cid:durableId="46229066">
    <w:abstractNumId w:val="17"/>
  </w:num>
  <w:num w:numId="19" w16cid:durableId="855315538">
    <w:abstractNumId w:val="12"/>
  </w:num>
  <w:num w:numId="20" w16cid:durableId="593320908">
    <w:abstractNumId w:val="15"/>
  </w:num>
  <w:num w:numId="21" w16cid:durableId="749275371">
    <w:abstractNumId w:val="14"/>
  </w:num>
  <w:num w:numId="22" w16cid:durableId="386298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36B43"/>
    <w:rsid w:val="00040449"/>
    <w:rsid w:val="000D6EDC"/>
    <w:rsid w:val="000F5AD2"/>
    <w:rsid w:val="00142394"/>
    <w:rsid w:val="0014723E"/>
    <w:rsid w:val="001A533E"/>
    <w:rsid w:val="001E5E12"/>
    <w:rsid w:val="001E7045"/>
    <w:rsid w:val="00233A95"/>
    <w:rsid w:val="00234D33"/>
    <w:rsid w:val="002C27A0"/>
    <w:rsid w:val="0032131C"/>
    <w:rsid w:val="00371118"/>
    <w:rsid w:val="00387A6D"/>
    <w:rsid w:val="003D2124"/>
    <w:rsid w:val="003D41E2"/>
    <w:rsid w:val="00414CAE"/>
    <w:rsid w:val="00434711"/>
    <w:rsid w:val="004C4BFB"/>
    <w:rsid w:val="004C71DB"/>
    <w:rsid w:val="004D6247"/>
    <w:rsid w:val="004F54D6"/>
    <w:rsid w:val="005847DE"/>
    <w:rsid w:val="00603DC8"/>
    <w:rsid w:val="00603F7B"/>
    <w:rsid w:val="00760ABB"/>
    <w:rsid w:val="00772069"/>
    <w:rsid w:val="00866469"/>
    <w:rsid w:val="0087301A"/>
    <w:rsid w:val="008F1CC1"/>
    <w:rsid w:val="009C65EF"/>
    <w:rsid w:val="00A86B99"/>
    <w:rsid w:val="00AC0230"/>
    <w:rsid w:val="00B158CD"/>
    <w:rsid w:val="00B46774"/>
    <w:rsid w:val="00BA4E87"/>
    <w:rsid w:val="00C045DE"/>
    <w:rsid w:val="00C73CD9"/>
    <w:rsid w:val="00DA2CE7"/>
    <w:rsid w:val="00EB63DF"/>
    <w:rsid w:val="00F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2024-04-18T14:28:00Z</cp:lastPrinted>
  <dcterms:created xsi:type="dcterms:W3CDTF">2024-04-18T14:28:00Z</dcterms:created>
  <dcterms:modified xsi:type="dcterms:W3CDTF">2024-04-18T14:28:00Z</dcterms:modified>
</cp:coreProperties>
</file>