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8CA2" w14:textId="6BA40E90" w:rsidR="00490C0F" w:rsidRDefault="00C81146" w:rsidP="00C81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ind w:left="0" w:right="0" w:firstLine="0"/>
        <w:jc w:val="center"/>
      </w:pPr>
      <w:r w:rsidRPr="00C81146">
        <w:rPr>
          <w:b/>
          <w:bCs/>
        </w:rPr>
        <w:t xml:space="preserve">2023 Réunion </w:t>
      </w:r>
      <w:r w:rsidR="00592E9B">
        <w:rPr>
          <w:b/>
          <w:bCs/>
        </w:rPr>
        <w:t xml:space="preserve">Jour 2 </w:t>
      </w:r>
      <w:r w:rsidRPr="00C81146">
        <w:rPr>
          <w:b/>
          <w:bCs/>
        </w:rPr>
        <w:t xml:space="preserve">Sciences physiques pour les sciences de </w:t>
      </w:r>
      <w:proofErr w:type="gramStart"/>
      <w:r w:rsidRPr="00C81146">
        <w:rPr>
          <w:b/>
          <w:bCs/>
        </w:rPr>
        <w:t>l’</w:t>
      </w:r>
      <w:proofErr w:type="spellStart"/>
      <w:r w:rsidRPr="00C81146">
        <w:rPr>
          <w:b/>
          <w:bCs/>
        </w:rPr>
        <w:t>ingénieur.e</w:t>
      </w:r>
      <w:proofErr w:type="spellEnd"/>
      <w:proofErr w:type="gramEnd"/>
      <w:r>
        <w:rPr>
          <w:b/>
          <w:bCs/>
        </w:rPr>
        <w:t xml:space="preserve">    </w:t>
      </w:r>
      <w:r w:rsidRPr="00C81146">
        <w:rPr>
          <w:b/>
          <w:bCs/>
        </w:rPr>
        <w:t>(30 minutes)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320C06">
        <w:rPr>
          <w:b/>
        </w:rPr>
        <w:t>EXERCICE B - Installation d’une fenêtre de toit (10 points)</w:t>
      </w:r>
      <w:r w:rsidR="001655C5">
        <w:rPr>
          <w:b/>
        </w:rPr>
        <w:t xml:space="preserve"> </w:t>
      </w:r>
      <w:hyperlink r:id="rId5" w:history="1">
        <w:r w:rsidR="001655C5" w:rsidRPr="00DF4478">
          <w:rPr>
            <w:rStyle w:val="Lienhypertexte"/>
            <w:b/>
          </w:rPr>
          <w:t>https://labolycee.org</w:t>
        </w:r>
      </w:hyperlink>
      <w:r w:rsidR="001655C5">
        <w:rPr>
          <w:b/>
        </w:rPr>
        <w:t xml:space="preserve"> </w:t>
      </w:r>
    </w:p>
    <w:p w14:paraId="78C8DD9F" w14:textId="77777777" w:rsidR="00C81146" w:rsidRDefault="00C81146" w:rsidP="00C81146">
      <w:pPr>
        <w:spacing w:after="0"/>
        <w:ind w:left="-5" w:right="0"/>
      </w:pPr>
    </w:p>
    <w:p w14:paraId="38FADC06" w14:textId="4A718FB6" w:rsidR="00490C0F" w:rsidRDefault="00320C06" w:rsidP="00C81146">
      <w:pPr>
        <w:spacing w:after="0"/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22749FE" wp14:editId="584E6C90">
            <wp:simplePos x="0" y="0"/>
            <wp:positionH relativeFrom="column">
              <wp:posOffset>4031109</wp:posOffset>
            </wp:positionH>
            <wp:positionV relativeFrom="paragraph">
              <wp:posOffset>-2904</wp:posOffset>
            </wp:positionV>
            <wp:extent cx="2277745" cy="1511300"/>
            <wp:effectExtent l="0" t="0" r="0" b="0"/>
            <wp:wrapSquare wrapText="bothSides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Afin d’accroître la luminosité d’une pièce située sous le toit de sa maison, une famille envisage d’installer une fenêtre de toiture d’entrée de gamme constituée d’un simple vitrage de surface </w:t>
      </w:r>
      <w:r>
        <w:rPr>
          <w:i/>
        </w:rPr>
        <w:t>S</w:t>
      </w:r>
      <w:r>
        <w:t xml:space="preserve"> = 1,0 m</w:t>
      </w:r>
      <w:r>
        <w:rPr>
          <w:vertAlign w:val="superscript"/>
        </w:rPr>
        <w:t>2</w:t>
      </w:r>
      <w:r>
        <w:t>.</w:t>
      </w:r>
    </w:p>
    <w:p w14:paraId="67B39754" w14:textId="77777777" w:rsidR="00D57957" w:rsidRDefault="00D57957" w:rsidP="00C81146">
      <w:pPr>
        <w:spacing w:after="0"/>
        <w:ind w:left="-5" w:right="0"/>
      </w:pPr>
    </w:p>
    <w:p w14:paraId="0AD79C5D" w14:textId="7750DEB8" w:rsidR="00490C0F" w:rsidRDefault="00320C06" w:rsidP="00C81146">
      <w:pPr>
        <w:spacing w:after="0"/>
        <w:ind w:left="-5" w:right="0"/>
      </w:pPr>
      <w:r>
        <w:t>L’objectif de cet exercice est d’étudier une des conséquences de cet achat en termes de température lors de la période estivale.</w:t>
      </w:r>
    </w:p>
    <w:p w14:paraId="6A5FC68C" w14:textId="77777777" w:rsidR="00D57957" w:rsidRDefault="00D57957" w:rsidP="00C81146">
      <w:pPr>
        <w:spacing w:after="0"/>
        <w:ind w:left="-5" w:right="0"/>
      </w:pPr>
    </w:p>
    <w:p w14:paraId="0C964885" w14:textId="01674587" w:rsidR="00490C0F" w:rsidRDefault="00320C06" w:rsidP="00C81146">
      <w:pPr>
        <w:spacing w:after="0"/>
        <w:ind w:left="-5" w:right="0"/>
      </w:pPr>
      <w:r>
        <w:t xml:space="preserve">Pour simplifier, on suppose qu’en période estivale, à partir de midi, la température de l’air au voisinage de cette fenêtre est constante et égale </w:t>
      </w:r>
      <w:proofErr w:type="spellStart"/>
      <w:r>
        <w:rPr>
          <w:i/>
        </w:rPr>
        <w:t>θ</w:t>
      </w:r>
      <w:r>
        <w:rPr>
          <w:vertAlign w:val="subscript"/>
        </w:rPr>
        <w:t>e</w:t>
      </w:r>
      <w:proofErr w:type="spellEnd"/>
      <w:r>
        <w:rPr>
          <w:b/>
        </w:rPr>
        <w:t xml:space="preserve"> </w:t>
      </w:r>
      <w:r>
        <w:t>= 50 °C.</w:t>
      </w:r>
    </w:p>
    <w:p w14:paraId="2E76CBB6" w14:textId="77777777" w:rsidR="00D57957" w:rsidRDefault="00D57957" w:rsidP="00C81146">
      <w:pPr>
        <w:spacing w:after="0"/>
        <w:ind w:left="-5" w:right="0"/>
      </w:pPr>
    </w:p>
    <w:p w14:paraId="7C68DAA6" w14:textId="1E71DD29" w:rsidR="00490C0F" w:rsidRDefault="00320C06" w:rsidP="00C81146">
      <w:pPr>
        <w:spacing w:after="0"/>
        <w:ind w:left="-5" w:right="0"/>
      </w:pPr>
      <w:r>
        <w:t>On admettra que la partie toiture en tuiles est parfaitement isolée thermiquement et que tout transfert thermique par rayonnement à travers la fenêtre de toit est négligeable.</w:t>
      </w:r>
    </w:p>
    <w:p w14:paraId="1A088EDD" w14:textId="77777777" w:rsidR="00D57957" w:rsidRDefault="00D57957" w:rsidP="00C81146">
      <w:pPr>
        <w:spacing w:after="0"/>
        <w:ind w:left="-5" w:right="0"/>
      </w:pPr>
    </w:p>
    <w:p w14:paraId="5D990551" w14:textId="7E0BB6DC" w:rsidR="00490C0F" w:rsidRDefault="00320C06" w:rsidP="00C81146">
      <w:pPr>
        <w:spacing w:after="0"/>
        <w:ind w:left="-5" w:right="0"/>
      </w:pPr>
      <w:r>
        <w:t xml:space="preserve">On considèrera que le seul transfert thermique échangé par l’air de la pièce est dû au transfert </w:t>
      </w:r>
      <w:proofErr w:type="spellStart"/>
      <w:r>
        <w:t>conducto</w:t>
      </w:r>
      <w:proofErr w:type="spellEnd"/>
      <w:r>
        <w:t>-convectif provenant de la vitre.</w:t>
      </w:r>
    </w:p>
    <w:p w14:paraId="316FDA9E" w14:textId="77777777" w:rsidR="00D57957" w:rsidRDefault="00D57957" w:rsidP="00C81146">
      <w:pPr>
        <w:spacing w:after="0"/>
        <w:ind w:left="-5" w:right="0"/>
      </w:pPr>
    </w:p>
    <w:p w14:paraId="526DEDBC" w14:textId="77777777" w:rsidR="00490C0F" w:rsidRDefault="00320C06" w:rsidP="00C81146">
      <w:pPr>
        <w:spacing w:after="0" w:line="259" w:lineRule="auto"/>
        <w:ind w:left="-5" w:right="0"/>
        <w:jc w:val="left"/>
      </w:pPr>
      <w:r>
        <w:rPr>
          <w:b/>
        </w:rPr>
        <w:t xml:space="preserve">Données </w:t>
      </w:r>
    </w:p>
    <w:p w14:paraId="5E46220E" w14:textId="69CAFD23" w:rsidR="00490C0F" w:rsidRDefault="00320C06" w:rsidP="00C81146">
      <w:pPr>
        <w:numPr>
          <w:ilvl w:val="0"/>
          <w:numId w:val="1"/>
        </w:numPr>
        <w:spacing w:after="0"/>
        <w:ind w:right="0" w:hanging="283"/>
      </w:pPr>
      <w:r>
        <w:t xml:space="preserve">Coefficient de transfert </w:t>
      </w:r>
      <w:proofErr w:type="spellStart"/>
      <w:r>
        <w:t>conducto</w:t>
      </w:r>
      <w:proofErr w:type="spellEnd"/>
      <w:r>
        <w:t xml:space="preserve">-convectif : </w:t>
      </w:r>
      <w:r>
        <w:rPr>
          <w:i/>
        </w:rPr>
        <w:t>h</w:t>
      </w:r>
      <w:r>
        <w:t xml:space="preserve"> = 8,0 W</w:t>
      </w:r>
      <w:r>
        <w:rPr>
          <w:rFonts w:ascii="Cambria Math" w:eastAsia="Cambria Math" w:hAnsi="Cambria Math" w:cs="Cambria Math"/>
        </w:rPr>
        <w:t>·</w:t>
      </w:r>
      <w:r>
        <w:t>K</w:t>
      </w:r>
      <w:r>
        <w:rPr>
          <w:vertAlign w:val="superscript"/>
        </w:rPr>
        <w:t>-1</w:t>
      </w:r>
      <w:r>
        <w:rPr>
          <w:rFonts w:ascii="Cambria Math" w:eastAsia="Cambria Math" w:hAnsi="Cambria Math" w:cs="Cambria Math"/>
        </w:rPr>
        <w:t>·</w:t>
      </w:r>
      <w:r>
        <w:t>m</w:t>
      </w:r>
      <w:r>
        <w:rPr>
          <w:vertAlign w:val="superscript"/>
        </w:rPr>
        <w:t>-2</w:t>
      </w:r>
      <w:r>
        <w:t xml:space="preserve"> ;</w:t>
      </w:r>
    </w:p>
    <w:p w14:paraId="43956E58" w14:textId="6FA16F52" w:rsidR="00490C0F" w:rsidRPr="00D57957" w:rsidRDefault="00320C06" w:rsidP="00C81146">
      <w:pPr>
        <w:numPr>
          <w:ilvl w:val="0"/>
          <w:numId w:val="1"/>
        </w:numPr>
        <w:spacing w:after="0"/>
        <w:ind w:right="0" w:hanging="283"/>
      </w:pPr>
      <w:r>
        <w:t xml:space="preserve">Surface de la vitre : </w:t>
      </w:r>
      <w:r>
        <w:rPr>
          <w:i/>
        </w:rPr>
        <w:t>S</w:t>
      </w:r>
      <w:r>
        <w:t xml:space="preserve"> = 1,0 m</w:t>
      </w:r>
      <w:r>
        <w:rPr>
          <w:vertAlign w:val="superscript"/>
        </w:rPr>
        <w:t>2</w:t>
      </w:r>
      <w:r>
        <w:t xml:space="preserve"> ;</w:t>
      </w:r>
    </w:p>
    <w:p w14:paraId="56B6F817" w14:textId="6AE1B31E" w:rsidR="00490C0F" w:rsidRDefault="00320C06" w:rsidP="00C81146">
      <w:pPr>
        <w:numPr>
          <w:ilvl w:val="0"/>
          <w:numId w:val="1"/>
        </w:numPr>
        <w:spacing w:after="0"/>
        <w:ind w:right="0" w:hanging="283"/>
      </w:pPr>
      <w:r>
        <w:t>Masse d’air contenue dans la pièce :</w:t>
      </w:r>
      <w:r>
        <w:rPr>
          <w:i/>
        </w:rPr>
        <w:t xml:space="preserve"> </w:t>
      </w:r>
      <w:proofErr w:type="spellStart"/>
      <w:r>
        <w:rPr>
          <w:i/>
        </w:rPr>
        <w:t>m</w:t>
      </w:r>
      <w:r>
        <w:rPr>
          <w:vertAlign w:val="subscript"/>
        </w:rPr>
        <w:t>air</w:t>
      </w:r>
      <w:proofErr w:type="spellEnd"/>
      <w:r>
        <w:t xml:space="preserve"> </w:t>
      </w:r>
      <w:r>
        <w:rPr>
          <w:i/>
        </w:rPr>
        <w:t xml:space="preserve">= </w:t>
      </w:r>
      <w:r>
        <w:t xml:space="preserve">1,3 </w:t>
      </w:r>
      <w:r>
        <w:rPr>
          <w:rFonts w:ascii="Segoe UI Symbol" w:eastAsia="Segoe UI Symbol" w:hAnsi="Segoe UI Symbol" w:cs="Segoe UI Symbol"/>
        </w:rPr>
        <w:t>×</w:t>
      </w:r>
      <w:r>
        <w:t xml:space="preserve"> 10</w:t>
      </w:r>
      <w:r>
        <w:rPr>
          <w:vertAlign w:val="superscript"/>
        </w:rPr>
        <w:t>2</w:t>
      </w:r>
      <w:r>
        <w:t xml:space="preserve"> kg</w:t>
      </w:r>
      <w:r>
        <w:rPr>
          <w:i/>
        </w:rPr>
        <w:t xml:space="preserve"> ;</w:t>
      </w:r>
    </w:p>
    <w:p w14:paraId="44586731" w14:textId="54E3A2EA" w:rsidR="00490C0F" w:rsidRDefault="00320C06" w:rsidP="00C81146">
      <w:pPr>
        <w:numPr>
          <w:ilvl w:val="0"/>
          <w:numId w:val="1"/>
        </w:numPr>
        <w:spacing w:after="0"/>
        <w:ind w:right="0" w:hanging="283"/>
      </w:pPr>
      <w:r>
        <w:t>Capacité thermique massique de l’air sec</w:t>
      </w:r>
      <w:r>
        <w:rPr>
          <w:i/>
        </w:rPr>
        <w:t xml:space="preserve"> : </w:t>
      </w:r>
      <w:proofErr w:type="spellStart"/>
      <w:r>
        <w:rPr>
          <w:i/>
        </w:rPr>
        <w:t>c</w:t>
      </w:r>
      <w:r>
        <w:rPr>
          <w:vertAlign w:val="subscript"/>
        </w:rPr>
        <w:t>air</w:t>
      </w:r>
      <w:proofErr w:type="spellEnd"/>
      <w:r>
        <w:rPr>
          <w:i/>
        </w:rPr>
        <w:t xml:space="preserve"> = </w:t>
      </w:r>
      <w:r>
        <w:t xml:space="preserve">1,0 </w:t>
      </w:r>
      <w:r>
        <w:rPr>
          <w:rFonts w:ascii="Cambria Math" w:eastAsia="Cambria Math" w:hAnsi="Cambria Math" w:cs="Cambria Math"/>
        </w:rPr>
        <w:t>×</w:t>
      </w:r>
      <w:r>
        <w:t xml:space="preserve"> 10</w:t>
      </w:r>
      <w:r>
        <w:rPr>
          <w:vertAlign w:val="superscript"/>
        </w:rPr>
        <w:t>3</w:t>
      </w:r>
      <w:r>
        <w:t xml:space="preserve"> J</w:t>
      </w:r>
      <w:r>
        <w:rPr>
          <w:rFonts w:ascii="Cambria Math" w:eastAsia="Cambria Math" w:hAnsi="Cambria Math" w:cs="Cambria Math"/>
        </w:rPr>
        <w:t>·</w:t>
      </w:r>
      <w:r>
        <w:t>K</w:t>
      </w:r>
      <w:r>
        <w:rPr>
          <w:vertAlign w:val="superscript"/>
        </w:rPr>
        <w:t>-1</w:t>
      </w:r>
      <w:r>
        <w:rPr>
          <w:rFonts w:ascii="Cambria Math" w:eastAsia="Cambria Math" w:hAnsi="Cambria Math" w:cs="Cambria Math"/>
        </w:rPr>
        <w:t>·</w:t>
      </w:r>
      <w:r>
        <w:t>kg</w:t>
      </w:r>
      <w:r>
        <w:rPr>
          <w:vertAlign w:val="superscript"/>
        </w:rPr>
        <w:t>-1</w:t>
      </w:r>
      <w:r>
        <w:t>.</w:t>
      </w:r>
    </w:p>
    <w:p w14:paraId="0E7B9EAB" w14:textId="2B5E1F4D" w:rsidR="00490C0F" w:rsidRDefault="00320C06" w:rsidP="00C81146">
      <w:pPr>
        <w:numPr>
          <w:ilvl w:val="0"/>
          <w:numId w:val="1"/>
        </w:numPr>
        <w:spacing w:after="0"/>
        <w:ind w:right="0" w:hanging="283"/>
      </w:pPr>
      <w:r>
        <w:t xml:space="preserve">Le flux </w:t>
      </w:r>
      <w:r>
        <w:t xml:space="preserve">thermique </w:t>
      </w:r>
      <w:r>
        <w:rPr>
          <w:i/>
        </w:rPr>
        <w:t>Φ</w:t>
      </w:r>
      <w:r>
        <w:t>(</w:t>
      </w:r>
      <w:r>
        <w:rPr>
          <w:i/>
        </w:rPr>
        <w:t>t</w:t>
      </w:r>
      <w:r>
        <w:t xml:space="preserve">) entre un système à la température uniforme </w:t>
      </w:r>
      <w:r>
        <w:rPr>
          <w:i/>
        </w:rPr>
        <w:t>θ</w:t>
      </w:r>
      <w:r>
        <w:t>(</w:t>
      </w:r>
      <w:r>
        <w:rPr>
          <w:i/>
        </w:rPr>
        <w:t>t</w:t>
      </w:r>
      <w:r>
        <w:t xml:space="preserve">) et un milieu extérieur à la température </w:t>
      </w:r>
      <w:proofErr w:type="spellStart"/>
      <w:r>
        <w:rPr>
          <w:i/>
        </w:rPr>
        <w:t>θ</w:t>
      </w:r>
      <w:r>
        <w:rPr>
          <w:vertAlign w:val="subscript"/>
        </w:rPr>
        <w:t>e</w:t>
      </w:r>
      <w:proofErr w:type="spellEnd"/>
      <w:r>
        <w:t xml:space="preserve"> fixe (thermostat) peut être modélisé par la loi de Newton :</w:t>
      </w:r>
      <w:r>
        <w:rPr>
          <w:i/>
        </w:rPr>
        <w:t xml:space="preserve"> </w:t>
      </w:r>
    </w:p>
    <w:p w14:paraId="3782ADC2" w14:textId="50399C05" w:rsidR="00490C0F" w:rsidRDefault="00320C06" w:rsidP="00C81146">
      <w:pPr>
        <w:spacing w:after="0" w:line="259" w:lineRule="auto"/>
        <w:ind w:left="713" w:right="0" w:firstLine="0"/>
        <w:jc w:val="center"/>
      </w:pPr>
      <w:r>
        <w:rPr>
          <w:i/>
        </w:rPr>
        <w:t>Φ</w:t>
      </w:r>
      <w:r w:rsidR="00EC1C3E" w:rsidRPr="00EC1C3E">
        <w:rPr>
          <w:rFonts w:eastAsia="Cambria Math"/>
        </w:rPr>
        <w:t>(</w:t>
      </w:r>
      <w:r w:rsidR="00EC1C3E" w:rsidRPr="00EC1C3E">
        <w:rPr>
          <w:rFonts w:eastAsia="Cambria Math"/>
          <w:i/>
          <w:iCs/>
        </w:rPr>
        <w:t>t</w:t>
      </w:r>
      <w:r w:rsidR="00EC1C3E" w:rsidRPr="00EC1C3E">
        <w:rPr>
          <w:rFonts w:eastAsia="Cambria Math"/>
        </w:rPr>
        <w:t>)</w:t>
      </w:r>
      <w:r>
        <w:rPr>
          <w:i/>
        </w:rPr>
        <w:t xml:space="preserve"> = h </w:t>
      </w:r>
      <w:r>
        <w:t xml:space="preserve">× </w:t>
      </w:r>
      <w:r>
        <w:rPr>
          <w:i/>
        </w:rPr>
        <w:t xml:space="preserve">S </w:t>
      </w:r>
      <w:r>
        <w:t>× (</w:t>
      </w:r>
      <w:proofErr w:type="spellStart"/>
      <w:r>
        <w:rPr>
          <w:i/>
        </w:rPr>
        <w:t>θ</w:t>
      </w:r>
      <w:r>
        <w:rPr>
          <w:i/>
          <w:vertAlign w:val="subscript"/>
        </w:rPr>
        <w:t>e</w:t>
      </w:r>
      <w:proofErr w:type="spellEnd"/>
      <w:r>
        <w:t xml:space="preserve"> – </w:t>
      </w:r>
      <w:r>
        <w:rPr>
          <w:i/>
        </w:rPr>
        <w:t>θ</w:t>
      </w:r>
      <w:r>
        <w:t>(</w:t>
      </w:r>
      <w:r>
        <w:rPr>
          <w:i/>
        </w:rPr>
        <w:t>t</w:t>
      </w:r>
      <w:r>
        <w:t xml:space="preserve">)) </w:t>
      </w:r>
    </w:p>
    <w:p w14:paraId="2B50C8B0" w14:textId="1F388C82" w:rsidR="00490C0F" w:rsidRDefault="00320C06" w:rsidP="00C81146">
      <w:pPr>
        <w:spacing w:after="0"/>
        <w:ind w:left="576" w:right="0"/>
      </w:pPr>
      <w:proofErr w:type="gramStart"/>
      <w:r>
        <w:t>avec</w:t>
      </w:r>
      <w:proofErr w:type="gramEnd"/>
      <w:r>
        <w:t xml:space="preserve"> </w:t>
      </w:r>
      <w:r>
        <w:rPr>
          <w:i/>
        </w:rPr>
        <w:t>Φ</w:t>
      </w:r>
      <w:r>
        <w:t xml:space="preserve"> en W ; </w:t>
      </w:r>
      <w:r>
        <w:rPr>
          <w:i/>
        </w:rPr>
        <w:t>h</w:t>
      </w:r>
      <w:r>
        <w:t xml:space="preserve"> coefficient </w:t>
      </w:r>
      <w:proofErr w:type="spellStart"/>
      <w:r>
        <w:t>conducto</w:t>
      </w:r>
      <w:proofErr w:type="spellEnd"/>
      <w:r>
        <w:t>-convectif en W</w:t>
      </w:r>
      <w:r>
        <w:rPr>
          <w:rFonts w:ascii="Cambria Math" w:eastAsia="Cambria Math" w:hAnsi="Cambria Math" w:cs="Cambria Math"/>
        </w:rPr>
        <w:t>⋅</w:t>
      </w:r>
      <w:r>
        <w:t>m</w:t>
      </w:r>
      <w:r>
        <w:rPr>
          <w:vertAlign w:val="superscript"/>
        </w:rPr>
        <w:t>-2</w:t>
      </w:r>
      <w:r>
        <w:rPr>
          <w:rFonts w:ascii="Cambria Math" w:eastAsia="Cambria Math" w:hAnsi="Cambria Math" w:cs="Cambria Math"/>
        </w:rPr>
        <w:t>⋅</w:t>
      </w:r>
      <w:r>
        <w:t>K</w:t>
      </w:r>
      <w:r>
        <w:rPr>
          <w:vertAlign w:val="superscript"/>
        </w:rPr>
        <w:t>-1</w:t>
      </w:r>
      <w:r>
        <w:t xml:space="preserve"> et </w:t>
      </w:r>
      <w:r>
        <w:rPr>
          <w:i/>
        </w:rPr>
        <w:t>S</w:t>
      </w:r>
      <w:r>
        <w:t xml:space="preserve"> surface d’échange entre le système et le milieu extérieur, en m².</w:t>
      </w:r>
    </w:p>
    <w:p w14:paraId="7831363A" w14:textId="77777777" w:rsidR="00D57957" w:rsidRDefault="00D57957" w:rsidP="00D57957">
      <w:pPr>
        <w:spacing w:after="0"/>
        <w:ind w:right="0"/>
      </w:pPr>
    </w:p>
    <w:p w14:paraId="552FE047" w14:textId="12FA39D9" w:rsidR="00490C0F" w:rsidRDefault="00320C06" w:rsidP="00D57957">
      <w:pPr>
        <w:numPr>
          <w:ilvl w:val="0"/>
          <w:numId w:val="2"/>
        </w:numPr>
        <w:spacing w:after="120" w:line="257" w:lineRule="auto"/>
        <w:ind w:left="284" w:right="0" w:hanging="284"/>
      </w:pPr>
      <w:r>
        <w:t xml:space="preserve">Exprimer le transfert thermique </w:t>
      </w:r>
      <w:r>
        <w:rPr>
          <w:i/>
        </w:rPr>
        <w:t>Q</w:t>
      </w:r>
      <w:r>
        <w:t xml:space="preserve"> qui a lieu à travers la vitre pendant la durée très courte </w:t>
      </w:r>
      <w:r>
        <w:t>Δ</w:t>
      </w:r>
      <w:r>
        <w:rPr>
          <w:i/>
        </w:rPr>
        <w:t>t</w:t>
      </w:r>
      <w:r>
        <w:t xml:space="preserve"> en fonction de </w:t>
      </w:r>
      <w:r>
        <w:t>Δ</w:t>
      </w:r>
      <w:r>
        <w:rPr>
          <w:i/>
        </w:rPr>
        <w:t>t</w:t>
      </w:r>
      <w:r>
        <w:t xml:space="preserve">, </w:t>
      </w:r>
      <w:r>
        <w:rPr>
          <w:i/>
        </w:rPr>
        <w:t>h</w:t>
      </w:r>
      <w:r>
        <w:t xml:space="preserve">, </w:t>
      </w:r>
      <w:r>
        <w:rPr>
          <w:i/>
        </w:rPr>
        <w:t>S</w:t>
      </w:r>
      <w:r>
        <w:t xml:space="preserve">, </w:t>
      </w:r>
      <w:proofErr w:type="spellStart"/>
      <w:r>
        <w:rPr>
          <w:i/>
        </w:rPr>
        <w:t>θ</w:t>
      </w:r>
      <w:r>
        <w:rPr>
          <w:vertAlign w:val="subscript"/>
        </w:rPr>
        <w:t>e</w:t>
      </w:r>
      <w:proofErr w:type="spellEnd"/>
      <w:r>
        <w:t xml:space="preserve"> et </w:t>
      </w:r>
      <w:r>
        <w:rPr>
          <w:i/>
        </w:rPr>
        <w:t>θ</w:t>
      </w:r>
      <w:r>
        <w:t>.</w:t>
      </w:r>
    </w:p>
    <w:p w14:paraId="28BBE38E" w14:textId="77777777" w:rsidR="00490C0F" w:rsidRDefault="00320C06" w:rsidP="00D57957">
      <w:pPr>
        <w:spacing w:after="120" w:line="257" w:lineRule="auto"/>
        <w:ind w:left="284" w:right="0" w:hanging="284"/>
      </w:pPr>
      <w:r>
        <w:t xml:space="preserve">Le système étudié est l’air de la pièce que l’on considérera incompressible. </w:t>
      </w:r>
    </w:p>
    <w:p w14:paraId="4B15774E" w14:textId="72C7FE0F" w:rsidR="00490C0F" w:rsidRDefault="00320C06" w:rsidP="00D57957">
      <w:pPr>
        <w:numPr>
          <w:ilvl w:val="0"/>
          <w:numId w:val="2"/>
        </w:numPr>
        <w:spacing w:after="120" w:line="257" w:lineRule="auto"/>
        <w:ind w:left="284" w:right="0" w:hanging="284"/>
      </w:pPr>
      <w:bookmarkStart w:id="0" w:name="_Hlk185753152"/>
      <w:r>
        <w:t xml:space="preserve">Appliquer le premier principe de la thermodynamique au système et en déduire une relation entre </w:t>
      </w:r>
      <w:r>
        <w:rPr>
          <w:i/>
        </w:rPr>
        <w:t xml:space="preserve">Φ </w:t>
      </w:r>
      <w:r>
        <w:t xml:space="preserve">et les grandeurs </w:t>
      </w:r>
      <w:r>
        <w:t>Δ</w:t>
      </w:r>
      <w:r>
        <w:rPr>
          <w:i/>
        </w:rPr>
        <w:t>t</w:t>
      </w:r>
      <w:r>
        <w:t xml:space="preserve">, </w:t>
      </w:r>
      <w:proofErr w:type="spellStart"/>
      <w:r>
        <w:rPr>
          <w:i/>
        </w:rPr>
        <w:t>m</w:t>
      </w:r>
      <w:r>
        <w:rPr>
          <w:vertAlign w:val="subscript"/>
        </w:rPr>
        <w:t>air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</w:t>
      </w:r>
      <w:r>
        <w:rPr>
          <w:vertAlign w:val="subscript"/>
        </w:rPr>
        <w:t>air</w:t>
      </w:r>
      <w:proofErr w:type="spellEnd"/>
      <w:r>
        <w:rPr>
          <w:i/>
        </w:rPr>
        <w:t xml:space="preserve"> </w:t>
      </w:r>
      <w:r>
        <w:t xml:space="preserve">et </w:t>
      </w:r>
      <w:proofErr w:type="spellStart"/>
      <w:r>
        <w:t>Δ</w:t>
      </w:r>
      <w:r>
        <w:rPr>
          <w:i/>
        </w:rPr>
        <w:t>θ</w:t>
      </w:r>
      <w:proofErr w:type="spellEnd"/>
      <w:r>
        <w:rPr>
          <w:i/>
        </w:rPr>
        <w:t xml:space="preserve"> où </w:t>
      </w:r>
      <w:proofErr w:type="spellStart"/>
      <w:r>
        <w:t>Δ</w:t>
      </w:r>
      <w:r>
        <w:rPr>
          <w:i/>
        </w:rPr>
        <w:t>θ</w:t>
      </w:r>
      <w:proofErr w:type="spellEnd"/>
      <w:r>
        <w:t xml:space="preserve"> désigne la variation de température du système pendant la durée </w:t>
      </w:r>
      <w:r>
        <w:t>Δ</w:t>
      </w:r>
      <w:r>
        <w:rPr>
          <w:i/>
        </w:rPr>
        <w:t>t</w:t>
      </w:r>
      <w:r>
        <w:t>.</w:t>
      </w:r>
    </w:p>
    <w:p w14:paraId="118ED86F" w14:textId="77777777" w:rsidR="00490C0F" w:rsidRDefault="00320C06" w:rsidP="00C81146">
      <w:pPr>
        <w:numPr>
          <w:ilvl w:val="0"/>
          <w:numId w:val="2"/>
        </w:numPr>
        <w:spacing w:after="0"/>
        <w:ind w:right="0" w:hanging="283"/>
      </w:pPr>
      <w:bookmarkStart w:id="1" w:name="_Hlk185753511"/>
      <w:bookmarkEnd w:id="0"/>
      <w:r>
        <w:t xml:space="preserve">Montrer que la température de l’air de la pièce </w:t>
      </w:r>
      <w:r>
        <w:rPr>
          <w:i/>
        </w:rPr>
        <w:t>θ</w:t>
      </w:r>
      <w:r>
        <w:t>(</w:t>
      </w:r>
      <w:r>
        <w:rPr>
          <w:i/>
        </w:rPr>
        <w:t>t</w:t>
      </w:r>
      <w:r>
        <w:t xml:space="preserve">) obéit à l’équation différentielle : </w:t>
      </w:r>
    </w:p>
    <w:p w14:paraId="6B0437B4" w14:textId="642E113A" w:rsidR="00D57957" w:rsidRDefault="00D57957" w:rsidP="00D57957">
      <w:pPr>
        <w:spacing w:after="0"/>
        <w:ind w:left="283" w:right="0" w:firstLine="0"/>
        <w:jc w:val="center"/>
      </w:pPr>
      <w:r w:rsidRPr="00D57957">
        <w:rPr>
          <w:position w:val="-24"/>
        </w:rPr>
        <w:object w:dxaOrig="2160" w:dyaOrig="620" w14:anchorId="79145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8pt;height:31.2pt" o:ole="">
            <v:imagedata r:id="rId7" o:title=""/>
          </v:shape>
          <o:OLEObject Type="Embed" ProgID="Equation.DSMT4" ShapeID="_x0000_i1027" DrawAspect="Content" ObjectID="_1796367064" r:id="rId8"/>
        </w:object>
      </w:r>
      <w:r>
        <w:t xml:space="preserve"> </w:t>
      </w:r>
      <w:proofErr w:type="gramStart"/>
      <w:r>
        <w:t>avec</w:t>
      </w:r>
      <w:proofErr w:type="gramEnd"/>
      <w:r>
        <w:t xml:space="preserve"> </w:t>
      </w:r>
      <w:r w:rsidRPr="00D57957">
        <w:rPr>
          <w:position w:val="-30"/>
        </w:rPr>
        <w:object w:dxaOrig="1400" w:dyaOrig="680" w14:anchorId="450C8F32">
          <v:shape id="_x0000_i1030" type="#_x0000_t75" style="width:70.2pt;height:34.2pt" o:ole="">
            <v:imagedata r:id="rId9" o:title=""/>
          </v:shape>
          <o:OLEObject Type="Embed" ProgID="Equation.DSMT4" ShapeID="_x0000_i1030" DrawAspect="Content" ObjectID="_1796367065" r:id="rId10"/>
        </w:object>
      </w:r>
    </w:p>
    <w:bookmarkEnd w:id="1"/>
    <w:p w14:paraId="27B5C198" w14:textId="00060280" w:rsidR="00490C0F" w:rsidRDefault="00320C06" w:rsidP="00C81146">
      <w:pPr>
        <w:numPr>
          <w:ilvl w:val="0"/>
          <w:numId w:val="2"/>
        </w:numPr>
        <w:spacing w:after="0"/>
        <w:ind w:right="0" w:hanging="283"/>
      </w:pPr>
      <w:r>
        <w:t xml:space="preserve">En utilisant les données, montrer que </w:t>
      </w:r>
      <w:r>
        <w:rPr>
          <w:rFonts w:ascii="Cambria Math" w:eastAsia="Cambria Math" w:hAnsi="Cambria Math" w:cs="Cambria Math"/>
        </w:rPr>
        <w:t>𝑎</w:t>
      </w:r>
      <w:r>
        <w:rPr>
          <w:rFonts w:ascii="Cambria Math" w:eastAsia="Cambria Math" w:hAnsi="Cambria Math" w:cs="Cambria Math"/>
        </w:rPr>
        <w:t xml:space="preserve"> =</w:t>
      </w:r>
      <w:r>
        <w:t xml:space="preserve"> 6,2 </w:t>
      </w:r>
      <w:r>
        <w:rPr>
          <w:rFonts w:ascii="Cambria Math" w:eastAsia="Cambria Math" w:hAnsi="Cambria Math" w:cs="Cambria Math"/>
        </w:rPr>
        <w:t>×</w:t>
      </w:r>
      <w:r>
        <w:t xml:space="preserve"> 10</w:t>
      </w:r>
      <w:r>
        <w:rPr>
          <w:vertAlign w:val="superscript"/>
        </w:rPr>
        <w:t>-5</w:t>
      </w:r>
      <w:r>
        <w:t xml:space="preserve"> s</w:t>
      </w:r>
      <w:r>
        <w:rPr>
          <w:vertAlign w:val="superscript"/>
        </w:rPr>
        <w:t>-1</w:t>
      </w:r>
      <w:r>
        <w:t xml:space="preserve"> environ. Justifier son unité.</w:t>
      </w:r>
    </w:p>
    <w:p w14:paraId="02D09946" w14:textId="77777777" w:rsidR="00490C0F" w:rsidRDefault="00320C06" w:rsidP="00C81146">
      <w:pPr>
        <w:spacing w:after="0"/>
        <w:ind w:left="-5" w:right="0"/>
      </w:pPr>
      <w:bookmarkStart w:id="2" w:name="_Hlk185753782"/>
      <w:r>
        <w:t xml:space="preserve">On admet que la solution à l’équation différentielle a pour expression :  </w:t>
      </w:r>
    </w:p>
    <w:p w14:paraId="1794B69F" w14:textId="1FB7FA1E" w:rsidR="00490C0F" w:rsidRDefault="00320C06" w:rsidP="00C81146">
      <w:pPr>
        <w:spacing w:after="0" w:line="259" w:lineRule="auto"/>
        <w:ind w:left="0" w:right="5" w:firstLine="0"/>
        <w:jc w:val="center"/>
      </w:pPr>
      <w:proofErr w:type="gramStart"/>
      <w:r>
        <w:rPr>
          <w:i/>
        </w:rPr>
        <w:t>θ</w:t>
      </w:r>
      <w:proofErr w:type="gramEnd"/>
      <w:r>
        <w:t>(</w:t>
      </w:r>
      <w:r>
        <w:rPr>
          <w:i/>
        </w:rPr>
        <w:t>t</w:t>
      </w:r>
      <w:r>
        <w:t xml:space="preserve">) </w:t>
      </w:r>
      <w:r>
        <w:rPr>
          <w:rFonts w:ascii="Cambria Math" w:eastAsia="Cambria Math" w:hAnsi="Cambria Math" w:cs="Cambria Math"/>
        </w:rPr>
        <w:t xml:space="preserve">= </w:t>
      </w:r>
      <w:r>
        <w:rPr>
          <w:rFonts w:ascii="Cambria Math" w:eastAsia="Cambria Math" w:hAnsi="Cambria Math" w:cs="Cambria Math"/>
        </w:rPr>
        <w:t>𝜃</w:t>
      </w:r>
      <w:r>
        <w:rPr>
          <w:sz w:val="17"/>
        </w:rPr>
        <w:t>i</w:t>
      </w:r>
      <w:r>
        <w:rPr>
          <w:rFonts w:ascii="Cambria Math" w:eastAsia="Cambria Math" w:hAnsi="Cambria Math" w:cs="Cambria Math"/>
        </w:rPr>
        <w:t xml:space="preserve"> + (</w:t>
      </w:r>
      <w:r>
        <w:rPr>
          <w:rFonts w:ascii="Cambria Math" w:eastAsia="Cambria Math" w:hAnsi="Cambria Math" w:cs="Cambria Math"/>
        </w:rPr>
        <w:t>𝜃</w:t>
      </w:r>
      <w:r>
        <w:rPr>
          <w:sz w:val="17"/>
        </w:rPr>
        <w:t>e</w:t>
      </w:r>
      <w:r>
        <w:rPr>
          <w:rFonts w:ascii="Cambria Math" w:eastAsia="Cambria Math" w:hAnsi="Cambria Math" w:cs="Cambria Math"/>
        </w:rPr>
        <w:t xml:space="preserve"> − </w:t>
      </w:r>
      <w:r>
        <w:rPr>
          <w:rFonts w:ascii="Cambria Math" w:eastAsia="Cambria Math" w:hAnsi="Cambria Math" w:cs="Cambria Math"/>
        </w:rPr>
        <w:t>𝜃</w:t>
      </w:r>
      <w:r>
        <w:rPr>
          <w:sz w:val="17"/>
        </w:rPr>
        <w:t>i</w:t>
      </w:r>
      <w:r>
        <w:rPr>
          <w:rFonts w:ascii="Cambria Math" w:eastAsia="Cambria Math" w:hAnsi="Cambria Math" w:cs="Cambria Math"/>
        </w:rPr>
        <w:t xml:space="preserve">) </w:t>
      </w:r>
      <w:r>
        <w:rPr>
          <w:rFonts w:ascii="Segoe UI Symbol" w:eastAsia="Segoe UI Symbol" w:hAnsi="Segoe UI Symbol" w:cs="Segoe UI Symbol"/>
        </w:rPr>
        <w:t>×</w:t>
      </w:r>
      <w:r>
        <w:rPr>
          <w:rFonts w:ascii="Cambria Math" w:eastAsia="Cambria Math" w:hAnsi="Cambria Math" w:cs="Cambria Math"/>
        </w:rPr>
        <w:t xml:space="preserve"> </w:t>
      </w:r>
      <w:r w:rsidR="00D57957">
        <w:rPr>
          <w:rFonts w:ascii="Cambria Math" w:eastAsia="Cambria Math" w:hAnsi="Cambria Math" w:cs="Cambria Math"/>
        </w:rPr>
        <w:t>(</w:t>
      </w:r>
      <w:r>
        <w:t>1</w:t>
      </w:r>
      <w:r>
        <w:rPr>
          <w:rFonts w:ascii="Cambria Math" w:eastAsia="Cambria Math" w:hAnsi="Cambria Math" w:cs="Cambria Math"/>
        </w:rPr>
        <w:t xml:space="preserve"> – e</w:t>
      </w:r>
      <w:r>
        <w:rPr>
          <w:rFonts w:ascii="Cambria Math" w:eastAsia="Cambria Math" w:hAnsi="Cambria Math" w:cs="Cambria Math"/>
          <w:vertAlign w:val="superscript"/>
        </w:rPr>
        <w:t>−</w:t>
      </w:r>
      <w:r>
        <w:rPr>
          <w:rFonts w:ascii="Cambria Math" w:eastAsia="Cambria Math" w:hAnsi="Cambria Math" w:cs="Cambria Math"/>
          <w:vertAlign w:val="superscript"/>
        </w:rPr>
        <w:t xml:space="preserve"> a × </w:t>
      </w:r>
      <w:r>
        <w:rPr>
          <w:vertAlign w:val="superscript"/>
        </w:rPr>
        <w:t>t</w:t>
      </w:r>
      <w:r w:rsidR="00D57957">
        <w:t>)</w:t>
      </w:r>
    </w:p>
    <w:p w14:paraId="3F2EC157" w14:textId="77777777" w:rsidR="00490C0F" w:rsidRDefault="00320C06" w:rsidP="00D57957">
      <w:pPr>
        <w:spacing w:after="120" w:line="257" w:lineRule="auto"/>
        <w:ind w:left="284" w:right="0" w:hanging="284"/>
      </w:pPr>
      <w:proofErr w:type="gramStart"/>
      <w:r>
        <w:t>où</w:t>
      </w:r>
      <w:proofErr w:type="gramEnd"/>
      <w:r>
        <w:t xml:space="preserve"> </w:t>
      </w:r>
      <w:proofErr w:type="spellStart"/>
      <w:r>
        <w:rPr>
          <w:i/>
        </w:rPr>
        <w:t>θ</w:t>
      </w:r>
      <w:r>
        <w:rPr>
          <w:vertAlign w:val="subscript"/>
        </w:rPr>
        <w:t>i</w:t>
      </w:r>
      <w:proofErr w:type="spellEnd"/>
      <w:r>
        <w:t xml:space="preserve"> est la température de l’air de la pièce à l’instant initial. </w:t>
      </w:r>
    </w:p>
    <w:p w14:paraId="678CE810" w14:textId="7003074B" w:rsidR="00490C0F" w:rsidRDefault="00320C06" w:rsidP="00C81146">
      <w:pPr>
        <w:spacing w:after="0"/>
        <w:ind w:left="268" w:right="0" w:hanging="283"/>
      </w:pPr>
      <w:r>
        <w:rPr>
          <w:b/>
        </w:rPr>
        <w:t xml:space="preserve">5. </w:t>
      </w:r>
      <w:r>
        <w:t xml:space="preserve">Calculer la température </w:t>
      </w:r>
      <w:r>
        <w:rPr>
          <w:i/>
        </w:rPr>
        <w:t>θ</w:t>
      </w:r>
      <w:r>
        <w:rPr>
          <w:rFonts w:ascii="Calibri" w:eastAsia="Calibri" w:hAnsi="Calibri" w:cs="Calibri"/>
          <w:b/>
          <w:i/>
        </w:rPr>
        <w:t xml:space="preserve"> </w:t>
      </w:r>
      <w:r>
        <w:t xml:space="preserve">de la pièce au bout d’une heure puis au bout de trois heures lorsque la température initiale intérieure </w:t>
      </w:r>
      <w:proofErr w:type="spellStart"/>
      <w:r>
        <w:rPr>
          <w:i/>
        </w:rPr>
        <w:t>θ</w:t>
      </w:r>
      <w:r>
        <w:rPr>
          <w:vertAlign w:val="subscript"/>
        </w:rPr>
        <w:t>i</w:t>
      </w:r>
      <w:proofErr w:type="spellEnd"/>
      <w:r>
        <w:t xml:space="preserve"> vaut 20 °C. À partir de ces résultats numériques, justifier si la fenêtre de toit choisie convient lors de la période estivale.</w:t>
      </w:r>
      <w:bookmarkEnd w:id="2"/>
    </w:p>
    <w:sectPr w:rsidR="00490C0F" w:rsidSect="00C81146">
      <w:pgSz w:w="11906" w:h="16838"/>
      <w:pgMar w:top="794" w:right="794" w:bottom="794" w:left="79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71752"/>
    <w:multiLevelType w:val="hybridMultilevel"/>
    <w:tmpl w:val="D38C4620"/>
    <w:lvl w:ilvl="0" w:tplc="C22E1152">
      <w:start w:val="1"/>
      <w:numFmt w:val="bullet"/>
      <w:lvlText w:val="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E86F4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04A76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4F210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82A6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4701C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38435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8BB94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23208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980E70"/>
    <w:multiLevelType w:val="hybridMultilevel"/>
    <w:tmpl w:val="2E2802C8"/>
    <w:lvl w:ilvl="0" w:tplc="050C10D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C95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095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C70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CB8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C53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C9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A6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6CE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5635595">
    <w:abstractNumId w:val="0"/>
  </w:num>
  <w:num w:numId="2" w16cid:durableId="31564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0F"/>
    <w:rsid w:val="00023C43"/>
    <w:rsid w:val="00076F94"/>
    <w:rsid w:val="00130DE2"/>
    <w:rsid w:val="001655C5"/>
    <w:rsid w:val="00490C0F"/>
    <w:rsid w:val="00592E9B"/>
    <w:rsid w:val="00C81146"/>
    <w:rsid w:val="00D57957"/>
    <w:rsid w:val="00EC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467A"/>
  <w15:docId w15:val="{29835314-145C-4308-AFC0-31D6700B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56" w:lineRule="auto"/>
      <w:ind w:left="10" w:right="3473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87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22"/>
    </w:rPr>
  </w:style>
  <w:style w:type="character" w:styleId="Lienhypertexte">
    <w:name w:val="Hyperlink"/>
    <w:basedOn w:val="Policepardfaut"/>
    <w:uiPriority w:val="99"/>
    <w:unhideWhenUsed/>
    <w:rsid w:val="001655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s://labolycee.org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2</cp:revision>
  <cp:lastPrinted>2024-12-22T09:04:00Z</cp:lastPrinted>
  <dcterms:created xsi:type="dcterms:W3CDTF">2024-12-22T09:04:00Z</dcterms:created>
  <dcterms:modified xsi:type="dcterms:W3CDTF">2024-12-22T09:04:00Z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