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00F6DB52" w:rsidR="00040449" w:rsidRDefault="001E7045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8762C4">
        <w:rPr>
          <w:rFonts w:ascii="Arial" w:hAnsi="Arial" w:cs="Arial"/>
          <w:b/>
          <w:bCs/>
          <w:sz w:val="24"/>
          <w:szCs w:val="24"/>
        </w:rPr>
        <w:t>4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0F19C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7238B4" w:rsidRPr="00CC172E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7238B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6BF6716" w:rsidR="00EB63DF" w:rsidRPr="00EB63DF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67D00">
        <w:rPr>
          <w:rFonts w:ascii="Arial" w:hAnsi="Arial" w:cs="Arial"/>
          <w:b/>
          <w:bCs/>
          <w:sz w:val="24"/>
          <w:szCs w:val="24"/>
        </w:rPr>
        <w:t>2</w:t>
      </w:r>
      <w:r w:rsidR="007238B4">
        <w:rPr>
          <w:rFonts w:ascii="Arial" w:hAnsi="Arial" w:cs="Arial"/>
          <w:b/>
          <w:bCs/>
          <w:sz w:val="24"/>
          <w:szCs w:val="24"/>
        </w:rPr>
        <w:t xml:space="preserve"> - </w:t>
      </w:r>
      <w:r w:rsidR="007238B4">
        <w:rPr>
          <w:rFonts w:ascii="Arial" w:hAnsi="Arial" w:cs="Arial"/>
          <w:b/>
          <w:bCs/>
          <w:caps/>
          <w:sz w:val="24"/>
          <w:szCs w:val="24"/>
        </w:rPr>
        <w:t>Traitement contre le varroa</w:t>
      </w:r>
      <w:r w:rsidR="007238B4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B80A38">
        <w:rPr>
          <w:rFonts w:ascii="Arial" w:hAnsi="Arial" w:cs="Arial"/>
          <w:b/>
          <w:bCs/>
          <w:sz w:val="24"/>
          <w:szCs w:val="24"/>
        </w:rPr>
        <w:t>4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24AE7F58" w14:textId="54019780" w:rsidR="00B317FF" w:rsidRDefault="00B317FF" w:rsidP="00B317FF">
      <w:pPr>
        <w:spacing w:after="0" w:line="240" w:lineRule="auto"/>
        <w:jc w:val="both"/>
        <w:rPr>
          <w:rFonts w:ascii="Arial" w:hAnsi="Arial" w:cs="Arial"/>
        </w:rPr>
      </w:pPr>
    </w:p>
    <w:p w14:paraId="698C1AB6" w14:textId="645D1B96" w:rsidR="00B80A38" w:rsidRDefault="00B80A38" w:rsidP="00271536">
      <w:pPr>
        <w:spacing w:after="120" w:line="240" w:lineRule="auto"/>
        <w:jc w:val="both"/>
        <w:rPr>
          <w:rFonts w:ascii="Arial" w:hAnsi="Arial" w:cs="Arial"/>
        </w:rPr>
      </w:pPr>
      <w:r w:rsidRPr="00B80A38">
        <w:rPr>
          <w:rFonts w:ascii="Arial" w:hAnsi="Arial" w:cs="Arial"/>
        </w:rPr>
        <w:t>Le varroa est un acarien qui s’attaque aux colonies d’abeilles ce qui entraîne un affaiblissement important des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>jeunes abeilles voire la disparition complète de la colonie si l’invasion de varroas est très importante.</w:t>
      </w:r>
    </w:p>
    <w:p w14:paraId="150AE43A" w14:textId="04B337F8" w:rsidR="00B80A38" w:rsidRPr="00271536" w:rsidRDefault="00B80A38" w:rsidP="00271536">
      <w:pPr>
        <w:spacing w:after="120" w:line="240" w:lineRule="auto"/>
        <w:jc w:val="both"/>
        <w:rPr>
          <w:rFonts w:ascii="Arial" w:hAnsi="Arial" w:cs="Arial"/>
          <w:spacing w:val="-4"/>
        </w:rPr>
      </w:pPr>
      <w:r w:rsidRPr="00271536">
        <w:rPr>
          <w:rFonts w:ascii="Arial" w:hAnsi="Arial" w:cs="Arial"/>
          <w:spacing w:val="-4"/>
        </w:rPr>
        <w:t>L’apiculteur surveille ses ruches et peut freiner la croissance de la population de varroas grâce à un traitement à base d’acide oxalique. Cependant à trop forte dose, cet acide peut être néfaste pour les abeilles. Le traitement consiste alors à laisser tomber goutte à goutte une solution sucrée d’acide oxalique dans la ruche.</w:t>
      </w:r>
    </w:p>
    <w:p w14:paraId="2EE4BF1A" w14:textId="6DA9BBD6" w:rsidR="00B317FF" w:rsidRDefault="00B80A38" w:rsidP="00271536">
      <w:pPr>
        <w:spacing w:after="120" w:line="240" w:lineRule="auto"/>
        <w:jc w:val="both"/>
        <w:rPr>
          <w:rFonts w:ascii="Arial" w:hAnsi="Arial" w:cs="Arial"/>
        </w:rPr>
      </w:pPr>
      <w:r w:rsidRPr="00B80A38">
        <w:rPr>
          <w:rFonts w:ascii="Arial" w:hAnsi="Arial" w:cs="Arial"/>
        </w:rPr>
        <w:t>L’objectif de cet exercice est de vérifier qu’une solution d’acide oxalique préparée pour traiter une ruche est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>conforme aux recommandations d’utilisation.</w:t>
      </w:r>
    </w:p>
    <w:p w14:paraId="1582CF22" w14:textId="77777777" w:rsidR="00B80A38" w:rsidRPr="0007152B" w:rsidRDefault="00B80A38" w:rsidP="00B80A3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152B">
        <w:rPr>
          <w:rFonts w:ascii="Arial" w:hAnsi="Arial" w:cs="Arial"/>
          <w:b/>
          <w:bCs/>
        </w:rPr>
        <w:t>Données :</w:t>
      </w:r>
    </w:p>
    <w:p w14:paraId="35AEF0F0" w14:textId="77777777" w:rsidR="00544C2B" w:rsidRPr="00544C2B" w:rsidRDefault="00544C2B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44C2B">
        <w:rPr>
          <w:rFonts w:ascii="Arial" w:hAnsi="Arial" w:cs="Arial"/>
        </w:rPr>
        <w:t>formule</w:t>
      </w:r>
      <w:proofErr w:type="gramEnd"/>
      <w:r w:rsidRPr="00544C2B">
        <w:rPr>
          <w:rFonts w:ascii="Arial" w:hAnsi="Arial" w:cs="Arial"/>
        </w:rPr>
        <w:t xml:space="preserve"> brute de l’acide oxalique : C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H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O</w:t>
      </w:r>
      <w:r w:rsidRPr="00544C2B">
        <w:rPr>
          <w:rFonts w:ascii="Arial" w:hAnsi="Arial" w:cs="Arial"/>
          <w:vertAlign w:val="subscript"/>
        </w:rPr>
        <w:t>4</w:t>
      </w:r>
      <w:r w:rsidRPr="00544C2B">
        <w:rPr>
          <w:rFonts w:ascii="Arial" w:hAnsi="Arial" w:cs="Arial"/>
        </w:rPr>
        <w:t> ;</w:t>
      </w:r>
    </w:p>
    <w:p w14:paraId="135DFCD5" w14:textId="77777777" w:rsidR="00544C2B" w:rsidRPr="00544C2B" w:rsidRDefault="00544C2B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44C2B">
        <w:rPr>
          <w:rFonts w:ascii="Arial" w:hAnsi="Arial" w:cs="Arial"/>
        </w:rPr>
        <w:t>masse</w:t>
      </w:r>
      <w:proofErr w:type="gramEnd"/>
      <w:r w:rsidRPr="00544C2B">
        <w:rPr>
          <w:rFonts w:ascii="Arial" w:hAnsi="Arial" w:cs="Arial"/>
        </w:rPr>
        <w:t xml:space="preserve"> molaire de l’acide oxalique dihydraté (C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H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O</w:t>
      </w:r>
      <w:r w:rsidRPr="00544C2B">
        <w:rPr>
          <w:rFonts w:ascii="Arial" w:hAnsi="Arial" w:cs="Arial"/>
          <w:vertAlign w:val="subscript"/>
        </w:rPr>
        <w:t>4</w:t>
      </w:r>
      <w:r w:rsidRPr="00544C2B">
        <w:rPr>
          <w:rFonts w:ascii="Arial" w:hAnsi="Arial" w:cs="Arial"/>
        </w:rPr>
        <w:t>, 2 H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 xml:space="preserve">O) : </w:t>
      </w:r>
      <w:r w:rsidRPr="00271536">
        <w:rPr>
          <w:rFonts w:ascii="Arial" w:hAnsi="Arial" w:cs="Arial"/>
          <w:i/>
          <w:iCs/>
        </w:rPr>
        <w:t>M</w:t>
      </w:r>
      <w:r w:rsidRPr="00544C2B">
        <w:rPr>
          <w:rFonts w:ascii="Arial" w:hAnsi="Arial" w:cs="Arial"/>
        </w:rPr>
        <w:t xml:space="preserve"> = 126 g∙mol</w:t>
      </w:r>
      <w:r w:rsidRPr="00544C2B">
        <w:rPr>
          <w:rFonts w:ascii="Arial" w:hAnsi="Arial" w:cs="Arial"/>
          <w:vertAlign w:val="superscript"/>
        </w:rPr>
        <w:t>–1</w:t>
      </w:r>
      <w:r w:rsidRPr="00544C2B">
        <w:rPr>
          <w:rFonts w:ascii="Arial" w:hAnsi="Arial" w:cs="Arial"/>
        </w:rPr>
        <w:t> ;</w:t>
      </w:r>
    </w:p>
    <w:p w14:paraId="17B94276" w14:textId="77777777" w:rsidR="00544C2B" w:rsidRDefault="00544C2B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44C2B">
        <w:rPr>
          <w:rFonts w:ascii="Arial" w:hAnsi="Arial" w:cs="Arial"/>
        </w:rPr>
        <w:t>p</w:t>
      </w:r>
      <w:r w:rsidRPr="00544C2B">
        <w:rPr>
          <w:rFonts w:ascii="Arial" w:hAnsi="Arial" w:cs="Arial"/>
          <w:i/>
          <w:iCs/>
        </w:rPr>
        <w:t>K</w:t>
      </w:r>
      <w:r w:rsidRPr="00544C2B">
        <w:rPr>
          <w:rFonts w:ascii="Arial" w:hAnsi="Arial" w:cs="Arial"/>
          <w:vertAlign w:val="subscript"/>
        </w:rPr>
        <w:t>A</w:t>
      </w:r>
      <w:proofErr w:type="gramEnd"/>
      <w:r w:rsidRPr="00544C2B">
        <w:rPr>
          <w:rFonts w:ascii="Arial" w:hAnsi="Arial" w:cs="Arial"/>
        </w:rPr>
        <w:t xml:space="preserve"> des couples acide-base associés à l’acide oxalique, à 25 °C :</w:t>
      </w:r>
    </w:p>
    <w:p w14:paraId="1C21C15C" w14:textId="77777777" w:rsidR="00544C2B" w:rsidRPr="00544C2B" w:rsidRDefault="00544C2B" w:rsidP="00544C2B">
      <w:pPr>
        <w:pStyle w:val="Paragraphedelist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544C2B">
        <w:rPr>
          <w:rFonts w:ascii="Arial" w:hAnsi="Arial" w:cs="Arial"/>
        </w:rPr>
        <w:t>C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H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O</w:t>
      </w:r>
      <w:r w:rsidRPr="00544C2B">
        <w:rPr>
          <w:rFonts w:ascii="Arial" w:hAnsi="Arial" w:cs="Arial"/>
          <w:vertAlign w:val="subscript"/>
        </w:rPr>
        <w:t>4</w:t>
      </w:r>
      <w:r w:rsidRPr="00544C2B">
        <w:rPr>
          <w:rFonts w:ascii="Arial" w:hAnsi="Arial" w:cs="Arial"/>
        </w:rPr>
        <w:t>(aq)/C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HO</w:t>
      </w:r>
      <w:r w:rsidRPr="00544C2B">
        <w:rPr>
          <w:rFonts w:ascii="Arial" w:hAnsi="Arial" w:cs="Arial"/>
          <w:vertAlign w:val="subscript"/>
        </w:rPr>
        <w:t>4</w:t>
      </w:r>
      <w:r w:rsidRPr="00544C2B">
        <w:rPr>
          <w:rFonts w:ascii="Arial" w:hAnsi="Arial" w:cs="Arial"/>
          <w:vertAlign w:val="superscript"/>
        </w:rPr>
        <w:t>–</w:t>
      </w:r>
      <w:r w:rsidRPr="00544C2B">
        <w:rPr>
          <w:rFonts w:ascii="Arial" w:hAnsi="Arial" w:cs="Arial"/>
        </w:rPr>
        <w:t>(aq) : p</w:t>
      </w:r>
      <w:r w:rsidRPr="00A432EA">
        <w:rPr>
          <w:rFonts w:ascii="Arial" w:hAnsi="Arial" w:cs="Arial"/>
          <w:i/>
          <w:iCs/>
        </w:rPr>
        <w:t>K</w:t>
      </w:r>
      <w:r w:rsidRPr="00544C2B">
        <w:rPr>
          <w:rFonts w:ascii="Arial" w:hAnsi="Arial" w:cs="Arial"/>
          <w:vertAlign w:val="subscript"/>
        </w:rPr>
        <w:t>A1</w:t>
      </w:r>
      <w:r w:rsidRPr="00544C2B">
        <w:rPr>
          <w:rFonts w:ascii="Arial" w:hAnsi="Arial" w:cs="Arial"/>
        </w:rPr>
        <w:t xml:space="preserve"> = 1,3 ;</w:t>
      </w:r>
    </w:p>
    <w:p w14:paraId="56039507" w14:textId="77777777" w:rsidR="00544C2B" w:rsidRPr="00544C2B" w:rsidRDefault="00544C2B" w:rsidP="00544C2B">
      <w:pPr>
        <w:pStyle w:val="Paragraphedelist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544C2B">
        <w:rPr>
          <w:rFonts w:ascii="Arial" w:hAnsi="Arial" w:cs="Arial"/>
        </w:rPr>
        <w:t>C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HO</w:t>
      </w:r>
      <w:r w:rsidRPr="00544C2B">
        <w:rPr>
          <w:rFonts w:ascii="Arial" w:hAnsi="Arial" w:cs="Arial"/>
          <w:vertAlign w:val="subscript"/>
        </w:rPr>
        <w:t>4</w:t>
      </w:r>
      <w:r w:rsidRPr="00544C2B">
        <w:rPr>
          <w:rFonts w:ascii="Arial" w:hAnsi="Arial" w:cs="Arial"/>
          <w:vertAlign w:val="superscript"/>
        </w:rPr>
        <w:t>−</w:t>
      </w:r>
      <w:r w:rsidRPr="00544C2B">
        <w:rPr>
          <w:rFonts w:ascii="Arial" w:hAnsi="Arial" w:cs="Arial"/>
        </w:rPr>
        <w:t>(</w:t>
      </w:r>
      <w:proofErr w:type="gramStart"/>
      <w:r w:rsidRPr="00544C2B">
        <w:rPr>
          <w:rFonts w:ascii="Arial" w:hAnsi="Arial" w:cs="Arial"/>
        </w:rPr>
        <w:t>aq)/</w:t>
      </w:r>
      <w:proofErr w:type="gramEnd"/>
      <w:r w:rsidRPr="00544C2B">
        <w:rPr>
          <w:rFonts w:ascii="Arial" w:hAnsi="Arial" w:cs="Arial"/>
        </w:rPr>
        <w:t>C</w:t>
      </w:r>
      <w:r w:rsidRPr="00544C2B">
        <w:rPr>
          <w:rFonts w:ascii="Arial" w:hAnsi="Arial" w:cs="Arial"/>
          <w:vertAlign w:val="subscript"/>
        </w:rPr>
        <w:t>2</w:t>
      </w:r>
      <w:r w:rsidRPr="00544C2B">
        <w:rPr>
          <w:rFonts w:ascii="Arial" w:hAnsi="Arial" w:cs="Arial"/>
        </w:rPr>
        <w:t>O</w:t>
      </w:r>
      <w:r w:rsidRPr="00544C2B">
        <w:rPr>
          <w:rFonts w:ascii="Arial" w:hAnsi="Arial" w:cs="Arial"/>
          <w:vertAlign w:val="subscript"/>
        </w:rPr>
        <w:t>4</w:t>
      </w:r>
      <w:r w:rsidRPr="00544C2B">
        <w:rPr>
          <w:rFonts w:ascii="Arial" w:hAnsi="Arial" w:cs="Arial"/>
          <w:vertAlign w:val="superscript"/>
        </w:rPr>
        <w:t>2−</w:t>
      </w:r>
      <w:r w:rsidRPr="00544C2B">
        <w:rPr>
          <w:rFonts w:ascii="Arial" w:hAnsi="Arial" w:cs="Arial"/>
        </w:rPr>
        <w:t>(aq) : p</w:t>
      </w:r>
      <w:r w:rsidRPr="00A432EA">
        <w:rPr>
          <w:rFonts w:ascii="Arial" w:hAnsi="Arial" w:cs="Arial"/>
          <w:i/>
          <w:iCs/>
        </w:rPr>
        <w:t>K</w:t>
      </w:r>
      <w:r w:rsidRPr="00544C2B">
        <w:rPr>
          <w:rFonts w:ascii="Arial" w:hAnsi="Arial" w:cs="Arial"/>
          <w:vertAlign w:val="subscript"/>
        </w:rPr>
        <w:t>A2</w:t>
      </w:r>
      <w:r w:rsidRPr="00544C2B">
        <w:rPr>
          <w:rFonts w:ascii="Arial" w:hAnsi="Arial" w:cs="Arial"/>
        </w:rPr>
        <w:t xml:space="preserve"> = 4,3.</w:t>
      </w:r>
    </w:p>
    <w:p w14:paraId="38E554CF" w14:textId="77777777" w:rsidR="00544C2B" w:rsidRPr="00544C2B" w:rsidRDefault="00544C2B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44C2B">
        <w:rPr>
          <w:rFonts w:ascii="Arial" w:hAnsi="Arial" w:cs="Arial"/>
        </w:rPr>
        <w:t>le</w:t>
      </w:r>
      <w:proofErr w:type="gramEnd"/>
      <w:r w:rsidRPr="00544C2B">
        <w:rPr>
          <w:rFonts w:ascii="Arial" w:hAnsi="Arial" w:cs="Arial"/>
        </w:rPr>
        <w:t xml:space="preserve"> traitement utilisé contre le varroa nécessite une préparation préalable de la part de l’apiculteur afin de fabriquer la solution sucrée d’acide oxalique. Les recommandations sont les suivantes :</w:t>
      </w:r>
    </w:p>
    <w:p w14:paraId="3580EC8D" w14:textId="425A9665" w:rsidR="00B317FF" w:rsidRDefault="00B317FF" w:rsidP="00B317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839"/>
        <w:gridCol w:w="1486"/>
        <w:gridCol w:w="1487"/>
      </w:tblGrid>
      <w:tr w:rsidR="00A432EA" w14:paraId="521CB1BA" w14:textId="77777777" w:rsidTr="00A432EA">
        <w:tc>
          <w:tcPr>
            <w:tcW w:w="3969" w:type="dxa"/>
            <w:vAlign w:val="center"/>
          </w:tcPr>
          <w:p w14:paraId="4CAFEF2C" w14:textId="7B21E566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Masse d’acide oxalique dihydraté pour</w:t>
            </w:r>
            <w:r>
              <w:rPr>
                <w:rFonts w:ascii="Arial" w:hAnsi="Arial" w:cs="Arial"/>
              </w:rPr>
              <w:t xml:space="preserve"> </w:t>
            </w:r>
            <w:r w:rsidRPr="00B80A38">
              <w:rPr>
                <w:rFonts w:ascii="Arial" w:hAnsi="Arial" w:cs="Arial"/>
              </w:rPr>
              <w:t>1 L de solution sucrée</w:t>
            </w:r>
          </w:p>
        </w:tc>
        <w:tc>
          <w:tcPr>
            <w:tcW w:w="1418" w:type="dxa"/>
            <w:vAlign w:val="center"/>
          </w:tcPr>
          <w:p w14:paraId="14774F8B" w14:textId="50F5D2CB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30 g</w:t>
            </w:r>
          </w:p>
        </w:tc>
        <w:tc>
          <w:tcPr>
            <w:tcW w:w="1839" w:type="dxa"/>
            <w:vAlign w:val="center"/>
          </w:tcPr>
          <w:p w14:paraId="403331D5" w14:textId="453C558F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B80A38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486" w:type="dxa"/>
            <w:vAlign w:val="center"/>
          </w:tcPr>
          <w:p w14:paraId="070B83E9" w14:textId="5B127D35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45 g</w:t>
            </w:r>
          </w:p>
        </w:tc>
        <w:tc>
          <w:tcPr>
            <w:tcW w:w="1487" w:type="dxa"/>
            <w:vAlign w:val="center"/>
          </w:tcPr>
          <w:p w14:paraId="5FD038B7" w14:textId="6824BEA8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60 g</w:t>
            </w:r>
          </w:p>
        </w:tc>
      </w:tr>
      <w:tr w:rsidR="00A432EA" w14:paraId="0FDF4601" w14:textId="77777777" w:rsidTr="00A432EA">
        <w:tc>
          <w:tcPr>
            <w:tcW w:w="3969" w:type="dxa"/>
            <w:vAlign w:val="center"/>
          </w:tcPr>
          <w:p w14:paraId="31DAFFF7" w14:textId="09D0C84C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Efficacité contre le varroa</w:t>
            </w:r>
          </w:p>
        </w:tc>
        <w:tc>
          <w:tcPr>
            <w:tcW w:w="1418" w:type="dxa"/>
            <w:vAlign w:val="center"/>
          </w:tcPr>
          <w:p w14:paraId="399A86F0" w14:textId="57E0963B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Médiocre</w:t>
            </w:r>
          </w:p>
        </w:tc>
        <w:tc>
          <w:tcPr>
            <w:tcW w:w="1839" w:type="dxa"/>
            <w:vAlign w:val="center"/>
          </w:tcPr>
          <w:p w14:paraId="783787B7" w14:textId="7D22D71B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Bonne</w:t>
            </w:r>
          </w:p>
        </w:tc>
        <w:tc>
          <w:tcPr>
            <w:tcW w:w="1486" w:type="dxa"/>
            <w:vAlign w:val="center"/>
          </w:tcPr>
          <w:p w14:paraId="055E7238" w14:textId="4043FAF8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Bonne</w:t>
            </w:r>
          </w:p>
        </w:tc>
        <w:tc>
          <w:tcPr>
            <w:tcW w:w="1487" w:type="dxa"/>
            <w:vAlign w:val="center"/>
          </w:tcPr>
          <w:p w14:paraId="13506FD7" w14:textId="43D94318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Excellente</w:t>
            </w:r>
          </w:p>
        </w:tc>
      </w:tr>
      <w:tr w:rsidR="00A432EA" w14:paraId="73E88416" w14:textId="77777777" w:rsidTr="00A432EA">
        <w:tc>
          <w:tcPr>
            <w:tcW w:w="3969" w:type="dxa"/>
            <w:vAlign w:val="center"/>
          </w:tcPr>
          <w:p w14:paraId="038D3F00" w14:textId="019CB0D5" w:rsidR="00A432EA" w:rsidRDefault="00A432EA" w:rsidP="00A432EA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Tolérance des abeilles</w:t>
            </w:r>
          </w:p>
        </w:tc>
        <w:tc>
          <w:tcPr>
            <w:tcW w:w="1418" w:type="dxa"/>
            <w:vAlign w:val="center"/>
          </w:tcPr>
          <w:p w14:paraId="5CB6A409" w14:textId="3B2E019C" w:rsidR="00A432EA" w:rsidRDefault="00A432EA" w:rsidP="007238B4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Bien</w:t>
            </w:r>
            <w:r w:rsidR="007238B4">
              <w:rPr>
                <w:rFonts w:ascii="Arial" w:hAnsi="Arial" w:cs="Arial"/>
              </w:rPr>
              <w:t xml:space="preserve"> </w:t>
            </w:r>
            <w:r w:rsidR="007238B4">
              <w:rPr>
                <w:rFonts w:ascii="Arial" w:hAnsi="Arial" w:cs="Arial"/>
              </w:rPr>
              <w:br/>
            </w:r>
            <w:r w:rsidRPr="00B80A38">
              <w:rPr>
                <w:rFonts w:ascii="Arial" w:hAnsi="Arial" w:cs="Arial"/>
              </w:rPr>
              <w:t>tolérée</w:t>
            </w:r>
          </w:p>
        </w:tc>
        <w:tc>
          <w:tcPr>
            <w:tcW w:w="1839" w:type="dxa"/>
            <w:vAlign w:val="center"/>
          </w:tcPr>
          <w:p w14:paraId="65BFE095" w14:textId="7B22BE4E" w:rsidR="00A432EA" w:rsidRDefault="00A432EA" w:rsidP="007238B4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Correctement</w:t>
            </w:r>
            <w:r w:rsidR="007238B4">
              <w:rPr>
                <w:rFonts w:ascii="Arial" w:hAnsi="Arial" w:cs="Arial"/>
              </w:rPr>
              <w:t xml:space="preserve"> </w:t>
            </w:r>
            <w:r w:rsidRPr="00B80A38">
              <w:rPr>
                <w:rFonts w:ascii="Arial" w:hAnsi="Arial" w:cs="Arial"/>
              </w:rPr>
              <w:t>tolérée</w:t>
            </w:r>
          </w:p>
        </w:tc>
        <w:tc>
          <w:tcPr>
            <w:tcW w:w="1486" w:type="dxa"/>
            <w:vAlign w:val="center"/>
          </w:tcPr>
          <w:p w14:paraId="0D17A2E0" w14:textId="6F0095EF" w:rsidR="00A432EA" w:rsidRDefault="00A432EA" w:rsidP="007238B4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Mal</w:t>
            </w:r>
            <w:r w:rsidR="007238B4">
              <w:rPr>
                <w:rFonts w:ascii="Arial" w:hAnsi="Arial" w:cs="Arial"/>
              </w:rPr>
              <w:br/>
              <w:t xml:space="preserve"> </w:t>
            </w:r>
            <w:r w:rsidRPr="00B80A38">
              <w:rPr>
                <w:rFonts w:ascii="Arial" w:hAnsi="Arial" w:cs="Arial"/>
              </w:rPr>
              <w:t>tolérée</w:t>
            </w:r>
          </w:p>
        </w:tc>
        <w:tc>
          <w:tcPr>
            <w:tcW w:w="1487" w:type="dxa"/>
            <w:vAlign w:val="center"/>
          </w:tcPr>
          <w:p w14:paraId="5ED030AF" w14:textId="1E118B4B" w:rsidR="00A432EA" w:rsidRDefault="00A432EA" w:rsidP="007238B4">
            <w:pPr>
              <w:jc w:val="center"/>
              <w:rPr>
                <w:rFonts w:ascii="Arial" w:hAnsi="Arial" w:cs="Arial"/>
              </w:rPr>
            </w:pPr>
            <w:r w:rsidRPr="00B80A38">
              <w:rPr>
                <w:rFonts w:ascii="Arial" w:hAnsi="Arial" w:cs="Arial"/>
              </w:rPr>
              <w:t>Très mal</w:t>
            </w:r>
            <w:r w:rsidR="007238B4">
              <w:rPr>
                <w:rFonts w:ascii="Arial" w:hAnsi="Arial" w:cs="Arial"/>
              </w:rPr>
              <w:t xml:space="preserve"> </w:t>
            </w:r>
            <w:r w:rsidRPr="00B80A38">
              <w:rPr>
                <w:rFonts w:ascii="Arial" w:hAnsi="Arial" w:cs="Arial"/>
              </w:rPr>
              <w:t>tolérée</w:t>
            </w:r>
          </w:p>
        </w:tc>
      </w:tr>
    </w:tbl>
    <w:p w14:paraId="45BFF26D" w14:textId="3639B853" w:rsidR="00B317FF" w:rsidRPr="00A432EA" w:rsidRDefault="00A432EA" w:rsidP="00A432EA">
      <w:pPr>
        <w:spacing w:before="120" w:after="0" w:line="240" w:lineRule="auto"/>
        <w:jc w:val="right"/>
        <w:rPr>
          <w:rFonts w:ascii="Arial" w:hAnsi="Arial" w:cs="Arial"/>
          <w:i/>
          <w:iCs/>
        </w:rPr>
      </w:pPr>
      <w:r w:rsidRPr="00A432EA">
        <w:rPr>
          <w:rFonts w:ascii="Arial" w:hAnsi="Arial" w:cs="Arial"/>
          <w:i/>
          <w:iCs/>
        </w:rPr>
        <w:t>D’après le centre suisse des recherches apicoles 2001</w:t>
      </w:r>
    </w:p>
    <w:p w14:paraId="48DE6DB3" w14:textId="77777777" w:rsidR="00B317FF" w:rsidRDefault="00B317FF" w:rsidP="00B317FF">
      <w:pPr>
        <w:spacing w:after="0" w:line="240" w:lineRule="auto"/>
        <w:jc w:val="both"/>
        <w:rPr>
          <w:rFonts w:ascii="Arial" w:hAnsi="Arial" w:cs="Arial"/>
        </w:rPr>
      </w:pPr>
    </w:p>
    <w:p w14:paraId="4F190F03" w14:textId="77777777" w:rsidR="00A51160" w:rsidRPr="00B80A38" w:rsidRDefault="00A51160" w:rsidP="00271536">
      <w:pPr>
        <w:spacing w:after="120" w:line="240" w:lineRule="auto"/>
        <w:jc w:val="both"/>
        <w:rPr>
          <w:rFonts w:ascii="Arial" w:hAnsi="Arial" w:cs="Arial"/>
        </w:rPr>
      </w:pPr>
      <w:r w:rsidRPr="00B80A38">
        <w:rPr>
          <w:rFonts w:ascii="Arial" w:hAnsi="Arial" w:cs="Arial"/>
        </w:rPr>
        <w:t>À partir d’une solution S commerciale sucrée d’acide oxalique, on prépare une solution S</w:t>
      </w:r>
      <w:r w:rsidRPr="00544C2B">
        <w:rPr>
          <w:rFonts w:ascii="Arial" w:hAnsi="Arial" w:cs="Arial"/>
          <w:vertAlign w:val="subscript"/>
        </w:rPr>
        <w:t>1</w:t>
      </w:r>
      <w:r w:rsidRPr="00B80A38">
        <w:rPr>
          <w:rFonts w:ascii="Arial" w:hAnsi="Arial" w:cs="Arial"/>
        </w:rPr>
        <w:t xml:space="preserve"> en diluant 10 fois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>la solution S.</w:t>
      </w:r>
    </w:p>
    <w:p w14:paraId="2DFFBAA9" w14:textId="73B66D6A" w:rsidR="00B317FF" w:rsidRPr="0007152B" w:rsidRDefault="00B317FF" w:rsidP="00271536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Q1.</w:t>
      </w:r>
      <w:r w:rsidRPr="0007152B">
        <w:rPr>
          <w:rFonts w:ascii="Arial" w:hAnsi="Arial" w:cs="Arial"/>
        </w:rPr>
        <w:tab/>
      </w:r>
      <w:r w:rsidR="00A51160" w:rsidRPr="00B80A38">
        <w:rPr>
          <w:rFonts w:ascii="Arial" w:hAnsi="Arial" w:cs="Arial"/>
        </w:rPr>
        <w:t>Proposer une formule développée de la molécule d’acide oxalique sachant qu’elle comporte deux</w:t>
      </w:r>
      <w:r w:rsidR="00A51160">
        <w:rPr>
          <w:rFonts w:ascii="Arial" w:hAnsi="Arial" w:cs="Arial"/>
        </w:rPr>
        <w:t xml:space="preserve"> </w:t>
      </w:r>
      <w:r w:rsidR="00A51160" w:rsidRPr="00B80A38">
        <w:rPr>
          <w:rFonts w:ascii="Arial" w:hAnsi="Arial" w:cs="Arial"/>
        </w:rPr>
        <w:t>fonctions acide carboxylique.</w:t>
      </w:r>
    </w:p>
    <w:p w14:paraId="4FE5F330" w14:textId="31A8D24E" w:rsidR="00B317FF" w:rsidRPr="00287462" w:rsidRDefault="00B317FF" w:rsidP="00271536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pacing w:val="-6"/>
        </w:rPr>
      </w:pPr>
      <w:r w:rsidRPr="00287462">
        <w:rPr>
          <w:rFonts w:ascii="Arial" w:hAnsi="Arial" w:cs="Arial"/>
          <w:b/>
          <w:bCs/>
          <w:spacing w:val="-6"/>
        </w:rPr>
        <w:t>Q2.</w:t>
      </w:r>
      <w:r w:rsidRPr="00287462">
        <w:rPr>
          <w:rFonts w:ascii="Arial" w:hAnsi="Arial" w:cs="Arial"/>
          <w:spacing w:val="-6"/>
        </w:rPr>
        <w:tab/>
      </w:r>
      <w:r w:rsidR="00A51160" w:rsidRPr="00B80A38">
        <w:rPr>
          <w:rFonts w:ascii="Arial" w:hAnsi="Arial" w:cs="Arial"/>
        </w:rPr>
        <w:t>Rédiger un protocole expérimental permettant de préparer un volume de 100,0 mL de solution S</w:t>
      </w:r>
      <w:r w:rsidR="00A51160" w:rsidRPr="00A51160">
        <w:rPr>
          <w:rFonts w:ascii="Arial" w:hAnsi="Arial" w:cs="Arial"/>
          <w:vertAlign w:val="subscript"/>
        </w:rPr>
        <w:t>1</w:t>
      </w:r>
      <w:r w:rsidR="00A51160" w:rsidRPr="00B80A38">
        <w:rPr>
          <w:rFonts w:ascii="Arial" w:hAnsi="Arial" w:cs="Arial"/>
        </w:rPr>
        <w:t xml:space="preserve"> à partir</w:t>
      </w:r>
      <w:r w:rsidR="00A51160">
        <w:rPr>
          <w:rFonts w:ascii="Arial" w:hAnsi="Arial" w:cs="Arial"/>
        </w:rPr>
        <w:t xml:space="preserve"> </w:t>
      </w:r>
      <w:r w:rsidR="00A51160" w:rsidRPr="00B80A38">
        <w:rPr>
          <w:rFonts w:ascii="Arial" w:hAnsi="Arial" w:cs="Arial"/>
        </w:rPr>
        <w:t>de la solution S en justifiant la verrerie choisie.</w:t>
      </w:r>
    </w:p>
    <w:p w14:paraId="4E298C41" w14:textId="7B1D8A19" w:rsidR="00A51160" w:rsidRDefault="00A51160" w:rsidP="00271536">
      <w:pPr>
        <w:spacing w:after="120" w:line="240" w:lineRule="auto"/>
        <w:jc w:val="both"/>
        <w:rPr>
          <w:rFonts w:ascii="Arial" w:hAnsi="Arial" w:cs="Arial"/>
        </w:rPr>
      </w:pPr>
      <w:r w:rsidRPr="00B80A38">
        <w:rPr>
          <w:rFonts w:ascii="Arial" w:hAnsi="Arial" w:cs="Arial"/>
        </w:rPr>
        <w:t xml:space="preserve">On dose par titrage avec suivi pH-métrique un volume </w:t>
      </w:r>
      <w:r w:rsidRPr="00A51160">
        <w:rPr>
          <w:rFonts w:ascii="Arial" w:hAnsi="Arial" w:cs="Arial"/>
          <w:i/>
          <w:iCs/>
        </w:rPr>
        <w:t>V</w:t>
      </w:r>
      <w:r w:rsidRPr="00B80A38">
        <w:rPr>
          <w:rFonts w:ascii="Arial" w:hAnsi="Arial" w:cs="Arial"/>
        </w:rPr>
        <w:t xml:space="preserve"> = 20,0 mL de solution diluée S</w:t>
      </w:r>
      <w:r w:rsidRPr="00A51160">
        <w:rPr>
          <w:rFonts w:ascii="Arial" w:hAnsi="Arial" w:cs="Arial"/>
          <w:vertAlign w:val="subscript"/>
        </w:rPr>
        <w:t>1</w:t>
      </w:r>
      <w:r w:rsidRPr="00B80A38">
        <w:rPr>
          <w:rFonts w:ascii="Arial" w:hAnsi="Arial" w:cs="Arial"/>
        </w:rPr>
        <w:t xml:space="preserve"> par une solution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 xml:space="preserve">aqueuse titrante d’hydroxyde de sodium de concentration </w:t>
      </w:r>
      <w:r w:rsidRPr="00A51160">
        <w:rPr>
          <w:rFonts w:ascii="Arial" w:hAnsi="Arial" w:cs="Arial"/>
          <w:i/>
          <w:iCs/>
        </w:rPr>
        <w:t>c</w:t>
      </w:r>
      <w:r w:rsidRPr="00B80A38">
        <w:rPr>
          <w:rFonts w:ascii="Arial" w:hAnsi="Arial" w:cs="Arial"/>
        </w:rPr>
        <w:t xml:space="preserve"> = 1,0×10</w:t>
      </w:r>
      <w:r w:rsidR="007238B4">
        <w:rPr>
          <w:rFonts w:ascii="Arial" w:hAnsi="Arial" w:cs="Arial"/>
          <w:vertAlign w:val="superscript"/>
        </w:rPr>
        <w:t>–</w:t>
      </w:r>
      <w:r w:rsidRPr="00A51160">
        <w:rPr>
          <w:rFonts w:ascii="Arial" w:hAnsi="Arial" w:cs="Arial"/>
          <w:vertAlign w:val="superscript"/>
        </w:rPr>
        <w:t>1</w:t>
      </w:r>
      <w:r w:rsidRPr="00B80A38">
        <w:rPr>
          <w:rFonts w:ascii="Arial" w:hAnsi="Arial" w:cs="Arial"/>
        </w:rPr>
        <w:t xml:space="preserve"> mol∙L</w:t>
      </w:r>
      <w:r w:rsidRPr="00A51160">
        <w:rPr>
          <w:rFonts w:ascii="Arial" w:hAnsi="Arial" w:cs="Arial"/>
          <w:vertAlign w:val="superscript"/>
        </w:rPr>
        <w:t>-1</w:t>
      </w:r>
      <w:r w:rsidRPr="00B80A38">
        <w:rPr>
          <w:rFonts w:ascii="Arial" w:hAnsi="Arial" w:cs="Arial"/>
        </w:rPr>
        <w:t>. La figure 1 ci-dessous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>présente l’évolution du pH du milieu réactionnel en fonction du volume versé de solution titrante.</w:t>
      </w:r>
    </w:p>
    <w:p w14:paraId="20B5647C" w14:textId="7F109774" w:rsidR="00B80A38" w:rsidRDefault="00D6259A" w:rsidP="00D6259A">
      <w:pPr>
        <w:spacing w:after="0" w:line="240" w:lineRule="auto"/>
        <w:jc w:val="center"/>
        <w:rPr>
          <w:rFonts w:ascii="Arial" w:hAnsi="Arial" w:cs="Arial"/>
        </w:rPr>
      </w:pPr>
      <w:r w:rsidRPr="00D6259A">
        <w:rPr>
          <w:rFonts w:ascii="Arial" w:hAnsi="Arial" w:cs="Arial"/>
          <w:noProof/>
        </w:rPr>
        <w:drawing>
          <wp:inline distT="0" distB="0" distL="0" distR="0" wp14:anchorId="3A8F3FAB" wp14:editId="14CC5173">
            <wp:extent cx="5857932" cy="2552368"/>
            <wp:effectExtent l="0" t="0" r="0" b="635"/>
            <wp:docPr id="2120454439" name="Image 1" descr="Une image contenant texte, ligne, diagramme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54439" name="Image 1" descr="Une image contenant texte, ligne, diagramme, point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2147" cy="255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2563" w14:textId="077A32AB" w:rsidR="003A4A20" w:rsidRPr="0007152B" w:rsidRDefault="00D6259A" w:rsidP="00271536">
      <w:pPr>
        <w:spacing w:before="60" w:after="0" w:line="240" w:lineRule="auto"/>
        <w:jc w:val="center"/>
        <w:rPr>
          <w:rFonts w:ascii="Arial" w:hAnsi="Arial" w:cs="Arial"/>
        </w:rPr>
      </w:pPr>
      <w:r w:rsidRPr="00D6259A">
        <w:rPr>
          <w:rFonts w:ascii="Arial" w:hAnsi="Arial" w:cs="Arial"/>
        </w:rPr>
        <w:t>Figure 1. Évolution du pH en fonction du volume versé de solution titrante</w:t>
      </w:r>
      <w:r w:rsidR="003A4A20" w:rsidRPr="0007152B">
        <w:rPr>
          <w:rFonts w:ascii="Arial" w:hAnsi="Arial" w:cs="Arial"/>
        </w:rPr>
        <w:br w:type="page"/>
      </w:r>
    </w:p>
    <w:p w14:paraId="5626707B" w14:textId="47F17F40" w:rsidR="00B80A38" w:rsidRPr="0007152B" w:rsidRDefault="00B80A38" w:rsidP="00B80A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lastRenderedPageBreak/>
        <w:t>Q3.</w:t>
      </w:r>
      <w:r w:rsidRPr="0007152B">
        <w:rPr>
          <w:rFonts w:ascii="Arial" w:hAnsi="Arial" w:cs="Arial"/>
        </w:rPr>
        <w:tab/>
      </w:r>
      <w:r w:rsidR="00D05F6E" w:rsidRPr="00B80A38">
        <w:rPr>
          <w:rFonts w:ascii="Arial" w:hAnsi="Arial" w:cs="Arial"/>
        </w:rPr>
        <w:t>Schématiser et légender le montage du dosage par titrage avec suivi pH-métrique de la solution diluée S</w:t>
      </w:r>
      <w:r w:rsidR="00D05F6E" w:rsidRPr="00D05F6E">
        <w:rPr>
          <w:rFonts w:ascii="Arial" w:hAnsi="Arial" w:cs="Arial"/>
          <w:vertAlign w:val="subscript"/>
        </w:rPr>
        <w:t>1</w:t>
      </w:r>
      <w:r w:rsidR="00D05F6E">
        <w:rPr>
          <w:rFonts w:ascii="Arial" w:hAnsi="Arial" w:cs="Arial"/>
        </w:rPr>
        <w:t xml:space="preserve"> </w:t>
      </w:r>
      <w:r w:rsidR="00D05F6E" w:rsidRPr="00B80A38">
        <w:rPr>
          <w:rFonts w:ascii="Arial" w:hAnsi="Arial" w:cs="Arial"/>
        </w:rPr>
        <w:t>par une solution aqueuse d’hydroxyde de sodium.</w:t>
      </w:r>
    </w:p>
    <w:p w14:paraId="1BB5F3A8" w14:textId="77777777" w:rsidR="00B80A38" w:rsidRPr="0007152B" w:rsidRDefault="00B80A38" w:rsidP="00B80A38">
      <w:pPr>
        <w:spacing w:after="0" w:line="240" w:lineRule="auto"/>
        <w:jc w:val="both"/>
        <w:rPr>
          <w:rFonts w:ascii="Arial" w:hAnsi="Arial" w:cs="Arial"/>
        </w:rPr>
      </w:pPr>
    </w:p>
    <w:p w14:paraId="2E5126C2" w14:textId="37845E52" w:rsidR="00B80A38" w:rsidRPr="0007152B" w:rsidRDefault="00B80A38" w:rsidP="00B80A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Q4.</w:t>
      </w:r>
      <w:r w:rsidRPr="0007152B">
        <w:rPr>
          <w:rFonts w:ascii="Arial" w:hAnsi="Arial" w:cs="Arial"/>
        </w:rPr>
        <w:tab/>
      </w:r>
      <w:r w:rsidR="00D05F6E" w:rsidRPr="00B80A38">
        <w:rPr>
          <w:rFonts w:ascii="Arial" w:hAnsi="Arial" w:cs="Arial"/>
        </w:rPr>
        <w:t>À l’aide d’un diagramme de prédominance, déterminer, en justifiant, la forme acide-base associée à l’acide</w:t>
      </w:r>
      <w:r w:rsidR="00D05F6E">
        <w:rPr>
          <w:rFonts w:ascii="Arial" w:hAnsi="Arial" w:cs="Arial"/>
        </w:rPr>
        <w:t xml:space="preserve"> </w:t>
      </w:r>
      <w:r w:rsidR="00D05F6E" w:rsidRPr="00B80A38">
        <w:rPr>
          <w:rFonts w:ascii="Arial" w:hAnsi="Arial" w:cs="Arial"/>
        </w:rPr>
        <w:t>oxalique qui est présente en plus grande quantité dans la solution diluée S</w:t>
      </w:r>
      <w:r w:rsidR="00D05F6E" w:rsidRPr="00D05F6E">
        <w:rPr>
          <w:rFonts w:ascii="Arial" w:hAnsi="Arial" w:cs="Arial"/>
          <w:vertAlign w:val="subscript"/>
        </w:rPr>
        <w:t>1</w:t>
      </w:r>
      <w:r w:rsidR="00D05F6E" w:rsidRPr="00B80A38">
        <w:rPr>
          <w:rFonts w:ascii="Arial" w:hAnsi="Arial" w:cs="Arial"/>
        </w:rPr>
        <w:t xml:space="preserve"> avant l’ajout de la solution aqueuse</w:t>
      </w:r>
      <w:r w:rsidR="00D05F6E">
        <w:rPr>
          <w:rFonts w:ascii="Arial" w:hAnsi="Arial" w:cs="Arial"/>
        </w:rPr>
        <w:t xml:space="preserve"> </w:t>
      </w:r>
      <w:r w:rsidR="00D05F6E" w:rsidRPr="00B80A38">
        <w:rPr>
          <w:rFonts w:ascii="Arial" w:hAnsi="Arial" w:cs="Arial"/>
        </w:rPr>
        <w:t>d’hydroxyde de sodium.</w:t>
      </w:r>
    </w:p>
    <w:p w14:paraId="524533D4" w14:textId="77777777" w:rsidR="00B80A38" w:rsidRDefault="00B80A38" w:rsidP="00B80A38">
      <w:pPr>
        <w:spacing w:after="0" w:line="240" w:lineRule="auto"/>
        <w:jc w:val="both"/>
        <w:rPr>
          <w:rFonts w:ascii="Arial" w:hAnsi="Arial" w:cs="Arial"/>
        </w:rPr>
      </w:pPr>
    </w:p>
    <w:p w14:paraId="63D289BA" w14:textId="77777777" w:rsidR="00D05F6E" w:rsidRPr="00B80A38" w:rsidRDefault="00D05F6E" w:rsidP="00D05F6E">
      <w:pPr>
        <w:spacing w:after="0" w:line="240" w:lineRule="auto"/>
        <w:jc w:val="both"/>
        <w:rPr>
          <w:rFonts w:ascii="Arial" w:hAnsi="Arial" w:cs="Arial"/>
        </w:rPr>
      </w:pPr>
      <w:r w:rsidRPr="00B80A38">
        <w:rPr>
          <w:rFonts w:ascii="Arial" w:hAnsi="Arial" w:cs="Arial"/>
        </w:rPr>
        <w:t>À l’aide d’un programme informatique, il est possible de tracer l’évolution des quantités de matière des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>différentes formes de l’acide oxalique au cours du titrage. La figure 2 ci-dessous en propose une</w:t>
      </w:r>
      <w:r>
        <w:rPr>
          <w:rFonts w:ascii="Arial" w:hAnsi="Arial" w:cs="Arial"/>
        </w:rPr>
        <w:t xml:space="preserve"> </w:t>
      </w:r>
      <w:r w:rsidRPr="00B80A38">
        <w:rPr>
          <w:rFonts w:ascii="Arial" w:hAnsi="Arial" w:cs="Arial"/>
        </w:rPr>
        <w:t>représentation.</w:t>
      </w:r>
    </w:p>
    <w:p w14:paraId="43E22807" w14:textId="77777777" w:rsidR="00B80A38" w:rsidRDefault="00B80A38" w:rsidP="00B80A38">
      <w:pPr>
        <w:spacing w:after="0" w:line="240" w:lineRule="auto"/>
        <w:jc w:val="both"/>
        <w:rPr>
          <w:rFonts w:ascii="Arial" w:hAnsi="Arial" w:cs="Arial"/>
        </w:rPr>
      </w:pPr>
    </w:p>
    <w:p w14:paraId="369A299B" w14:textId="5D7F3649" w:rsidR="00D6259A" w:rsidRDefault="00D6259A" w:rsidP="00D6259A">
      <w:pPr>
        <w:spacing w:after="0" w:line="240" w:lineRule="auto"/>
        <w:jc w:val="center"/>
        <w:rPr>
          <w:rFonts w:ascii="Arial" w:hAnsi="Arial" w:cs="Arial"/>
        </w:rPr>
      </w:pPr>
      <w:r w:rsidRPr="00D6259A">
        <w:rPr>
          <w:rFonts w:ascii="Arial" w:hAnsi="Arial" w:cs="Arial"/>
          <w:noProof/>
        </w:rPr>
        <w:drawing>
          <wp:inline distT="0" distB="0" distL="0" distR="0" wp14:anchorId="745282E1" wp14:editId="70B8439F">
            <wp:extent cx="5876014" cy="3823094"/>
            <wp:effectExtent l="0" t="0" r="0" b="6350"/>
            <wp:docPr id="127317850" name="Image 1" descr="Une image contenant diagramme, lign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7850" name="Image 1" descr="Une image contenant diagramme, ligne, Tracé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3643" cy="383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74CA2" w14:textId="77777777" w:rsidR="00D05F6E" w:rsidRDefault="00D05F6E" w:rsidP="00B80A38">
      <w:pPr>
        <w:spacing w:after="0" w:line="240" w:lineRule="auto"/>
        <w:jc w:val="both"/>
        <w:rPr>
          <w:rFonts w:ascii="Arial" w:hAnsi="Arial" w:cs="Arial"/>
        </w:rPr>
      </w:pPr>
    </w:p>
    <w:p w14:paraId="4C6C5862" w14:textId="77777777" w:rsidR="00D05F6E" w:rsidRPr="00D6259A" w:rsidRDefault="00D05F6E" w:rsidP="00D6259A">
      <w:pPr>
        <w:spacing w:after="0" w:line="240" w:lineRule="auto"/>
        <w:jc w:val="center"/>
        <w:rPr>
          <w:rFonts w:ascii="Arial" w:hAnsi="Arial" w:cs="Arial"/>
          <w:spacing w:val="-4"/>
        </w:rPr>
      </w:pPr>
      <w:r w:rsidRPr="00D6259A">
        <w:rPr>
          <w:rFonts w:ascii="Arial" w:hAnsi="Arial" w:cs="Arial"/>
          <w:spacing w:val="-4"/>
        </w:rPr>
        <w:t>Figure 2. Évolution des quantités de matière des différentes formes de l’acide oxalique au cours du titrage</w:t>
      </w:r>
    </w:p>
    <w:p w14:paraId="27B1A917" w14:textId="77777777" w:rsidR="00D05F6E" w:rsidRPr="008527E4" w:rsidRDefault="00D05F6E" w:rsidP="00B80A38">
      <w:pPr>
        <w:spacing w:after="0" w:line="240" w:lineRule="auto"/>
        <w:jc w:val="both"/>
        <w:rPr>
          <w:rFonts w:ascii="Arial" w:hAnsi="Arial" w:cs="Arial"/>
        </w:rPr>
      </w:pPr>
    </w:p>
    <w:p w14:paraId="27B1FA95" w14:textId="4E1E51C5" w:rsidR="003A4A20" w:rsidRPr="0007152B" w:rsidRDefault="003A4A20" w:rsidP="001654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Q5.</w:t>
      </w:r>
      <w:r w:rsidRPr="0007152B">
        <w:rPr>
          <w:rFonts w:ascii="Arial" w:hAnsi="Arial" w:cs="Arial"/>
        </w:rPr>
        <w:tab/>
      </w:r>
      <w:r w:rsidR="00D6259A" w:rsidRPr="00B80A38">
        <w:rPr>
          <w:rFonts w:ascii="Arial" w:hAnsi="Arial" w:cs="Arial"/>
        </w:rPr>
        <w:t xml:space="preserve">Attribuer, en justifiant, chaque courbe </w:t>
      </w:r>
      <w:r w:rsidR="00D6259A" w:rsidRPr="00D6259A">
        <w:rPr>
          <w:rFonts w:ascii="Arial" w:hAnsi="Arial" w:cs="Arial"/>
        </w:rPr>
        <w:t>n1, n2 et n3</w:t>
      </w:r>
      <w:r w:rsidR="00D6259A" w:rsidRPr="00B80A38">
        <w:rPr>
          <w:rFonts w:ascii="Arial" w:hAnsi="Arial" w:cs="Arial"/>
        </w:rPr>
        <w:t xml:space="preserve"> à la forme acido-basique correspondante de l’acide oxalique.</w:t>
      </w:r>
    </w:p>
    <w:p w14:paraId="64F4E122" w14:textId="6A50A5D9" w:rsidR="001B1D0F" w:rsidRPr="0007152B" w:rsidRDefault="001B1D0F" w:rsidP="00165438">
      <w:pPr>
        <w:spacing w:after="0" w:line="240" w:lineRule="auto"/>
        <w:jc w:val="both"/>
        <w:rPr>
          <w:rFonts w:ascii="Arial" w:hAnsi="Arial" w:cs="Arial"/>
        </w:rPr>
      </w:pPr>
    </w:p>
    <w:p w14:paraId="423F2993" w14:textId="1294B98C" w:rsidR="003A4A20" w:rsidRPr="0007152B" w:rsidRDefault="003A4A20" w:rsidP="001654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Q6.</w:t>
      </w:r>
      <w:r w:rsidRPr="0007152B">
        <w:rPr>
          <w:rFonts w:ascii="Arial" w:hAnsi="Arial" w:cs="Arial"/>
        </w:rPr>
        <w:tab/>
      </w:r>
      <w:r w:rsidR="00D6259A" w:rsidRPr="00B80A38">
        <w:rPr>
          <w:rFonts w:ascii="Arial" w:hAnsi="Arial" w:cs="Arial"/>
        </w:rPr>
        <w:t>En utilisant les figures 1 et 2, expliquer comment on peut retrouver la valeur du pK</w:t>
      </w:r>
      <w:r w:rsidR="00D6259A" w:rsidRPr="00D05F6E">
        <w:rPr>
          <w:rFonts w:ascii="Arial" w:hAnsi="Arial" w:cs="Arial"/>
          <w:vertAlign w:val="subscript"/>
        </w:rPr>
        <w:t>A2</w:t>
      </w:r>
      <w:r w:rsidR="00D6259A" w:rsidRPr="00B80A38">
        <w:rPr>
          <w:rFonts w:ascii="Arial" w:hAnsi="Arial" w:cs="Arial"/>
        </w:rPr>
        <w:t>.</w:t>
      </w:r>
    </w:p>
    <w:p w14:paraId="772F6DD6" w14:textId="77777777" w:rsidR="00D6259A" w:rsidRDefault="00D6259A" w:rsidP="00D6259A">
      <w:pPr>
        <w:spacing w:after="0" w:line="240" w:lineRule="auto"/>
        <w:jc w:val="both"/>
        <w:rPr>
          <w:rFonts w:ascii="Arial" w:hAnsi="Arial" w:cs="Arial"/>
        </w:rPr>
      </w:pPr>
    </w:p>
    <w:p w14:paraId="719594FD" w14:textId="77777777" w:rsidR="00D6259A" w:rsidRDefault="00D6259A" w:rsidP="00D6259A">
      <w:pPr>
        <w:spacing w:after="0" w:line="240" w:lineRule="auto"/>
        <w:jc w:val="both"/>
        <w:rPr>
          <w:rFonts w:ascii="Arial" w:hAnsi="Arial" w:cs="Arial"/>
        </w:rPr>
      </w:pPr>
      <w:r w:rsidRPr="00B80A38">
        <w:rPr>
          <w:rFonts w:ascii="Arial" w:hAnsi="Arial" w:cs="Arial"/>
        </w:rPr>
        <w:t>La transformation chimique mise en jeu lors du titrage est modélisée par la réaction d’équation</w:t>
      </w:r>
      <w:r>
        <w:rPr>
          <w:rFonts w:ascii="Arial" w:hAnsi="Arial" w:cs="Arial"/>
        </w:rPr>
        <w:t> :</w:t>
      </w:r>
    </w:p>
    <w:p w14:paraId="59BA74CA" w14:textId="77777777" w:rsidR="007238B4" w:rsidRPr="00B80A38" w:rsidRDefault="007238B4" w:rsidP="00D6259A">
      <w:pPr>
        <w:spacing w:after="0" w:line="240" w:lineRule="auto"/>
        <w:jc w:val="both"/>
        <w:rPr>
          <w:rFonts w:ascii="Arial" w:hAnsi="Arial" w:cs="Arial"/>
        </w:rPr>
      </w:pPr>
    </w:p>
    <w:p w14:paraId="12819DA2" w14:textId="74C32A70" w:rsidR="00D6259A" w:rsidRPr="00B80A38" w:rsidRDefault="00D6259A" w:rsidP="00D6259A">
      <w:pPr>
        <w:spacing w:after="0" w:line="240" w:lineRule="auto"/>
        <w:jc w:val="center"/>
        <w:rPr>
          <w:rFonts w:ascii="Arial" w:hAnsi="Arial" w:cs="Arial"/>
        </w:rPr>
      </w:pPr>
      <w:r w:rsidRPr="00B80A38">
        <w:rPr>
          <w:rFonts w:ascii="Arial" w:hAnsi="Arial" w:cs="Arial"/>
        </w:rPr>
        <w:t>C</w:t>
      </w:r>
      <w:r w:rsidRPr="00D6259A">
        <w:rPr>
          <w:rFonts w:ascii="Arial" w:hAnsi="Arial" w:cs="Arial"/>
          <w:vertAlign w:val="subscript"/>
        </w:rPr>
        <w:t>2</w:t>
      </w:r>
      <w:r w:rsidRPr="00B80A38">
        <w:rPr>
          <w:rFonts w:ascii="Arial" w:hAnsi="Arial" w:cs="Arial"/>
        </w:rPr>
        <w:t>H</w:t>
      </w:r>
      <w:r w:rsidRPr="00D6259A">
        <w:rPr>
          <w:rFonts w:ascii="Arial" w:hAnsi="Arial" w:cs="Arial"/>
          <w:vertAlign w:val="subscript"/>
        </w:rPr>
        <w:t>2</w:t>
      </w:r>
      <w:r w:rsidRPr="00B80A38">
        <w:rPr>
          <w:rFonts w:ascii="Arial" w:hAnsi="Arial" w:cs="Arial"/>
        </w:rPr>
        <w:t>O</w:t>
      </w:r>
      <w:r w:rsidRPr="00D6259A">
        <w:rPr>
          <w:rFonts w:ascii="Arial" w:hAnsi="Arial" w:cs="Arial"/>
          <w:vertAlign w:val="subscript"/>
        </w:rPr>
        <w:t>4</w:t>
      </w:r>
      <w:r w:rsidRPr="00B80A38">
        <w:rPr>
          <w:rFonts w:ascii="Arial" w:hAnsi="Arial" w:cs="Arial"/>
        </w:rPr>
        <w:t>(aq) + 2 HO</w:t>
      </w:r>
      <w:r w:rsidRPr="00D6259A">
        <w:rPr>
          <w:rFonts w:ascii="Arial" w:hAnsi="Arial" w:cs="Arial"/>
          <w:vertAlign w:val="superscript"/>
        </w:rPr>
        <w:t>–</w:t>
      </w:r>
      <w:r w:rsidRPr="00B80A38">
        <w:rPr>
          <w:rFonts w:ascii="Arial" w:hAnsi="Arial" w:cs="Arial"/>
        </w:rPr>
        <w:t>(aq) → C</w:t>
      </w:r>
      <w:r w:rsidRPr="00D6259A">
        <w:rPr>
          <w:rFonts w:ascii="Arial" w:hAnsi="Arial" w:cs="Arial"/>
          <w:vertAlign w:val="subscript"/>
        </w:rPr>
        <w:t>2</w:t>
      </w:r>
      <w:r w:rsidRPr="00B80A38">
        <w:rPr>
          <w:rFonts w:ascii="Arial" w:hAnsi="Arial" w:cs="Arial"/>
        </w:rPr>
        <w:t>O</w:t>
      </w:r>
      <w:r w:rsidRPr="00D6259A">
        <w:rPr>
          <w:rFonts w:ascii="Arial" w:hAnsi="Arial" w:cs="Arial"/>
          <w:vertAlign w:val="subscript"/>
        </w:rPr>
        <w:t>4</w:t>
      </w:r>
      <w:r w:rsidRPr="00D6259A">
        <w:rPr>
          <w:rFonts w:ascii="Arial" w:hAnsi="Arial" w:cs="Arial"/>
          <w:vertAlign w:val="superscript"/>
        </w:rPr>
        <w:t>2–</w:t>
      </w:r>
      <w:r w:rsidRPr="00B80A38">
        <w:rPr>
          <w:rFonts w:ascii="Arial" w:hAnsi="Arial" w:cs="Arial"/>
        </w:rPr>
        <w:t>(aq) + 2 H</w:t>
      </w:r>
      <w:r w:rsidRPr="00D6259A">
        <w:rPr>
          <w:rFonts w:ascii="Arial" w:hAnsi="Arial" w:cs="Arial"/>
          <w:vertAlign w:val="subscript"/>
        </w:rPr>
        <w:t>2</w:t>
      </w:r>
      <w:r w:rsidRPr="00B80A38">
        <w:rPr>
          <w:rFonts w:ascii="Arial" w:hAnsi="Arial" w:cs="Arial"/>
        </w:rPr>
        <w:t>O(ℓ)</w:t>
      </w:r>
    </w:p>
    <w:p w14:paraId="0C2AB4DD" w14:textId="77777777" w:rsidR="003A4A20" w:rsidRPr="0007152B" w:rsidRDefault="003A4A20" w:rsidP="00165438">
      <w:pPr>
        <w:spacing w:after="0" w:line="240" w:lineRule="auto"/>
        <w:jc w:val="both"/>
        <w:rPr>
          <w:rFonts w:ascii="Arial" w:hAnsi="Arial" w:cs="Arial"/>
        </w:rPr>
      </w:pPr>
    </w:p>
    <w:p w14:paraId="2B4430EB" w14:textId="60A2D32A" w:rsidR="008762C4" w:rsidRPr="0007152B" w:rsidRDefault="008762C4" w:rsidP="001654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Q7.</w:t>
      </w:r>
      <w:r w:rsidRPr="0007152B">
        <w:rPr>
          <w:rFonts w:ascii="Arial" w:hAnsi="Arial" w:cs="Arial"/>
        </w:rPr>
        <w:tab/>
      </w:r>
      <w:r w:rsidR="00D6259A" w:rsidRPr="00B80A38">
        <w:rPr>
          <w:rFonts w:ascii="Arial" w:hAnsi="Arial" w:cs="Arial"/>
        </w:rPr>
        <w:t>Exploiter les résultats du titrage pour déterminer la valeur de la concentration en masse en acide oxalique</w:t>
      </w:r>
      <w:r w:rsidR="00D6259A">
        <w:rPr>
          <w:rFonts w:ascii="Arial" w:hAnsi="Arial" w:cs="Arial"/>
        </w:rPr>
        <w:t xml:space="preserve"> </w:t>
      </w:r>
      <w:r w:rsidR="00D6259A" w:rsidRPr="00B80A38">
        <w:rPr>
          <w:rFonts w:ascii="Arial" w:hAnsi="Arial" w:cs="Arial"/>
        </w:rPr>
        <w:t>dihydraté de la solution commerciale S. Commenter en vous appuyant sur les recommandations d’utilisation</w:t>
      </w:r>
      <w:r w:rsidR="00D6259A">
        <w:rPr>
          <w:rFonts w:ascii="Arial" w:hAnsi="Arial" w:cs="Arial"/>
        </w:rPr>
        <w:t xml:space="preserve"> </w:t>
      </w:r>
      <w:r w:rsidR="00D6259A" w:rsidRPr="00B80A38">
        <w:rPr>
          <w:rFonts w:ascii="Arial" w:hAnsi="Arial" w:cs="Arial"/>
        </w:rPr>
        <w:t>de l’acide oxalique pour un traitement des ruches par goutte à goutte.</w:t>
      </w:r>
    </w:p>
    <w:p w14:paraId="3839988B" w14:textId="77777777" w:rsidR="00D05F6E" w:rsidRPr="00B80A38" w:rsidRDefault="00D05F6E" w:rsidP="00B80A38">
      <w:pPr>
        <w:spacing w:after="0" w:line="240" w:lineRule="auto"/>
        <w:jc w:val="both"/>
        <w:rPr>
          <w:rFonts w:ascii="Arial" w:hAnsi="Arial" w:cs="Arial"/>
        </w:rPr>
      </w:pPr>
    </w:p>
    <w:p w14:paraId="496E4E1F" w14:textId="77777777" w:rsidR="00B80A38" w:rsidRPr="00D05F6E" w:rsidRDefault="00B80A38" w:rsidP="00B80A38">
      <w:pPr>
        <w:spacing w:after="0" w:line="240" w:lineRule="auto"/>
        <w:jc w:val="both"/>
        <w:rPr>
          <w:rFonts w:ascii="Arial" w:hAnsi="Arial" w:cs="Arial"/>
          <w:i/>
          <w:iCs/>
          <w:spacing w:val="-4"/>
        </w:rPr>
      </w:pPr>
      <w:r w:rsidRPr="00D05F6E">
        <w:rPr>
          <w:rFonts w:ascii="Arial" w:hAnsi="Arial" w:cs="Arial"/>
          <w:i/>
          <w:iCs/>
          <w:spacing w:val="-4"/>
        </w:rPr>
        <w:t>Le candidat est invité à prendre des initiatives et à présenter la démarche suivie même si elle n’a pas abouti.</w:t>
      </w:r>
    </w:p>
    <w:p w14:paraId="46AF1C05" w14:textId="27B7D51A" w:rsidR="00B80A38" w:rsidRPr="00D05F6E" w:rsidRDefault="00B80A38" w:rsidP="00B80A3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05F6E">
        <w:rPr>
          <w:rFonts w:ascii="Arial" w:hAnsi="Arial" w:cs="Arial"/>
          <w:i/>
          <w:iCs/>
        </w:rPr>
        <w:t>La démarche suivie est évaluée et nécessite donc d’être correctement présentée.</w:t>
      </w:r>
    </w:p>
    <w:sectPr w:rsidR="00B80A38" w:rsidRPr="00D05F6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314"/>
    <w:multiLevelType w:val="hybridMultilevel"/>
    <w:tmpl w:val="00DA22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533"/>
    <w:multiLevelType w:val="hybridMultilevel"/>
    <w:tmpl w:val="77928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2738"/>
    <w:multiLevelType w:val="hybridMultilevel"/>
    <w:tmpl w:val="9B8CB5A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C12B0"/>
    <w:multiLevelType w:val="hybridMultilevel"/>
    <w:tmpl w:val="51B60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0E7C"/>
    <w:multiLevelType w:val="hybridMultilevel"/>
    <w:tmpl w:val="E0829B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C531C"/>
    <w:multiLevelType w:val="hybridMultilevel"/>
    <w:tmpl w:val="5F7EBD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B15D3"/>
    <w:multiLevelType w:val="hybridMultilevel"/>
    <w:tmpl w:val="E96EE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A76E6"/>
    <w:multiLevelType w:val="hybridMultilevel"/>
    <w:tmpl w:val="4E56C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22D01"/>
    <w:multiLevelType w:val="hybridMultilevel"/>
    <w:tmpl w:val="5A7E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F57AB"/>
    <w:multiLevelType w:val="hybridMultilevel"/>
    <w:tmpl w:val="15220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B4141"/>
    <w:multiLevelType w:val="hybridMultilevel"/>
    <w:tmpl w:val="25BAA8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6"/>
  </w:num>
  <w:num w:numId="2" w16cid:durableId="147598150">
    <w:abstractNumId w:val="37"/>
  </w:num>
  <w:num w:numId="3" w16cid:durableId="1043673191">
    <w:abstractNumId w:val="7"/>
  </w:num>
  <w:num w:numId="4" w16cid:durableId="1554997379">
    <w:abstractNumId w:val="16"/>
  </w:num>
  <w:num w:numId="5" w16cid:durableId="1774783699">
    <w:abstractNumId w:val="25"/>
  </w:num>
  <w:num w:numId="6" w16cid:durableId="1209610847">
    <w:abstractNumId w:val="10"/>
  </w:num>
  <w:num w:numId="7" w16cid:durableId="1069693144">
    <w:abstractNumId w:val="35"/>
  </w:num>
  <w:num w:numId="8" w16cid:durableId="2051689700">
    <w:abstractNumId w:val="31"/>
  </w:num>
  <w:num w:numId="9" w16cid:durableId="216749121">
    <w:abstractNumId w:val="3"/>
  </w:num>
  <w:num w:numId="10" w16cid:durableId="745884451">
    <w:abstractNumId w:val="28"/>
  </w:num>
  <w:num w:numId="11" w16cid:durableId="1463964506">
    <w:abstractNumId w:val="39"/>
  </w:num>
  <w:num w:numId="12" w16cid:durableId="1430850099">
    <w:abstractNumId w:val="4"/>
  </w:num>
  <w:num w:numId="13" w16cid:durableId="220554775">
    <w:abstractNumId w:val="24"/>
  </w:num>
  <w:num w:numId="14" w16cid:durableId="363479020">
    <w:abstractNumId w:val="2"/>
  </w:num>
  <w:num w:numId="15" w16cid:durableId="2015108701">
    <w:abstractNumId w:val="12"/>
  </w:num>
  <w:num w:numId="16" w16cid:durableId="166361213">
    <w:abstractNumId w:val="13"/>
  </w:num>
  <w:num w:numId="17" w16cid:durableId="1337030129">
    <w:abstractNumId w:val="8"/>
  </w:num>
  <w:num w:numId="18" w16cid:durableId="1288773730">
    <w:abstractNumId w:val="27"/>
  </w:num>
  <w:num w:numId="19" w16cid:durableId="1110125383">
    <w:abstractNumId w:val="15"/>
  </w:num>
  <w:num w:numId="20" w16cid:durableId="1853911922">
    <w:abstractNumId w:val="21"/>
  </w:num>
  <w:num w:numId="21" w16cid:durableId="632447056">
    <w:abstractNumId w:val="14"/>
  </w:num>
  <w:num w:numId="22" w16cid:durableId="343560615">
    <w:abstractNumId w:val="23"/>
  </w:num>
  <w:num w:numId="23" w16cid:durableId="717507297">
    <w:abstractNumId w:val="18"/>
  </w:num>
  <w:num w:numId="24" w16cid:durableId="1468930140">
    <w:abstractNumId w:val="26"/>
  </w:num>
  <w:num w:numId="25" w16cid:durableId="1853181516">
    <w:abstractNumId w:val="6"/>
  </w:num>
  <w:num w:numId="26" w16cid:durableId="864906973">
    <w:abstractNumId w:val="19"/>
  </w:num>
  <w:num w:numId="27" w16cid:durableId="342246093">
    <w:abstractNumId w:val="38"/>
  </w:num>
  <w:num w:numId="28" w16cid:durableId="1037044963">
    <w:abstractNumId w:val="9"/>
  </w:num>
  <w:num w:numId="29" w16cid:durableId="496113055">
    <w:abstractNumId w:val="17"/>
  </w:num>
  <w:num w:numId="30" w16cid:durableId="1409158898">
    <w:abstractNumId w:val="1"/>
  </w:num>
  <w:num w:numId="31" w16cid:durableId="1041125283">
    <w:abstractNumId w:val="33"/>
  </w:num>
  <w:num w:numId="32" w16cid:durableId="1110704476">
    <w:abstractNumId w:val="32"/>
  </w:num>
  <w:num w:numId="33" w16cid:durableId="367998333">
    <w:abstractNumId w:val="29"/>
  </w:num>
  <w:num w:numId="34" w16cid:durableId="448278754">
    <w:abstractNumId w:val="5"/>
  </w:num>
  <w:num w:numId="35" w16cid:durableId="1887987007">
    <w:abstractNumId w:val="34"/>
  </w:num>
  <w:num w:numId="36" w16cid:durableId="855774292">
    <w:abstractNumId w:val="11"/>
  </w:num>
  <w:num w:numId="37" w16cid:durableId="1582831711">
    <w:abstractNumId w:val="20"/>
  </w:num>
  <w:num w:numId="38" w16cid:durableId="1741782667">
    <w:abstractNumId w:val="0"/>
  </w:num>
  <w:num w:numId="39" w16cid:durableId="661740528">
    <w:abstractNumId w:val="30"/>
  </w:num>
  <w:num w:numId="40" w16cid:durableId="13662482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6E71"/>
    <w:rsid w:val="00036B43"/>
    <w:rsid w:val="00040449"/>
    <w:rsid w:val="0007152B"/>
    <w:rsid w:val="00093947"/>
    <w:rsid w:val="000B7173"/>
    <w:rsid w:val="000D540A"/>
    <w:rsid w:val="000D6EDC"/>
    <w:rsid w:val="000F19C7"/>
    <w:rsid w:val="000F5AD2"/>
    <w:rsid w:val="00106D4B"/>
    <w:rsid w:val="00107A43"/>
    <w:rsid w:val="0014090A"/>
    <w:rsid w:val="00142394"/>
    <w:rsid w:val="0014723E"/>
    <w:rsid w:val="00165438"/>
    <w:rsid w:val="001A533E"/>
    <w:rsid w:val="001B1D0F"/>
    <w:rsid w:val="001C6E6C"/>
    <w:rsid w:val="001E7045"/>
    <w:rsid w:val="00215467"/>
    <w:rsid w:val="00222ABC"/>
    <w:rsid w:val="00233A95"/>
    <w:rsid w:val="00234D33"/>
    <w:rsid w:val="00244CBB"/>
    <w:rsid w:val="0026164E"/>
    <w:rsid w:val="00271536"/>
    <w:rsid w:val="00287462"/>
    <w:rsid w:val="00287584"/>
    <w:rsid w:val="002C27A0"/>
    <w:rsid w:val="002C6F95"/>
    <w:rsid w:val="002E6B59"/>
    <w:rsid w:val="002F5D46"/>
    <w:rsid w:val="00371118"/>
    <w:rsid w:val="00374118"/>
    <w:rsid w:val="00387A6D"/>
    <w:rsid w:val="003A46BD"/>
    <w:rsid w:val="003A4A20"/>
    <w:rsid w:val="003D0870"/>
    <w:rsid w:val="003D41E2"/>
    <w:rsid w:val="004032A9"/>
    <w:rsid w:val="00434711"/>
    <w:rsid w:val="0045530D"/>
    <w:rsid w:val="004640CD"/>
    <w:rsid w:val="00464EFD"/>
    <w:rsid w:val="004B3ADE"/>
    <w:rsid w:val="004C71DB"/>
    <w:rsid w:val="005171C7"/>
    <w:rsid w:val="00524858"/>
    <w:rsid w:val="00544C2B"/>
    <w:rsid w:val="00557D7D"/>
    <w:rsid w:val="0056432E"/>
    <w:rsid w:val="005847DE"/>
    <w:rsid w:val="0058719A"/>
    <w:rsid w:val="005B0CDD"/>
    <w:rsid w:val="005D08A3"/>
    <w:rsid w:val="005F1A48"/>
    <w:rsid w:val="005F3CE7"/>
    <w:rsid w:val="00603DC8"/>
    <w:rsid w:val="00603F7B"/>
    <w:rsid w:val="00614372"/>
    <w:rsid w:val="00620153"/>
    <w:rsid w:val="006231F5"/>
    <w:rsid w:val="00625CB6"/>
    <w:rsid w:val="00675FAC"/>
    <w:rsid w:val="00682234"/>
    <w:rsid w:val="006D1F2D"/>
    <w:rsid w:val="006D218C"/>
    <w:rsid w:val="0070438F"/>
    <w:rsid w:val="007238B4"/>
    <w:rsid w:val="00733946"/>
    <w:rsid w:val="00772069"/>
    <w:rsid w:val="00810E4F"/>
    <w:rsid w:val="008527E4"/>
    <w:rsid w:val="008557AA"/>
    <w:rsid w:val="0087301A"/>
    <w:rsid w:val="008762C4"/>
    <w:rsid w:val="00886548"/>
    <w:rsid w:val="008F1CC1"/>
    <w:rsid w:val="008F340E"/>
    <w:rsid w:val="009271C2"/>
    <w:rsid w:val="00974E49"/>
    <w:rsid w:val="00975731"/>
    <w:rsid w:val="009A2769"/>
    <w:rsid w:val="009B253E"/>
    <w:rsid w:val="009C65EF"/>
    <w:rsid w:val="009C7A04"/>
    <w:rsid w:val="009E181B"/>
    <w:rsid w:val="009E4964"/>
    <w:rsid w:val="009F465A"/>
    <w:rsid w:val="009F7693"/>
    <w:rsid w:val="00A432EA"/>
    <w:rsid w:val="00A51160"/>
    <w:rsid w:val="00A86B99"/>
    <w:rsid w:val="00AB5008"/>
    <w:rsid w:val="00AC0230"/>
    <w:rsid w:val="00AE2D23"/>
    <w:rsid w:val="00B01CD2"/>
    <w:rsid w:val="00B158CD"/>
    <w:rsid w:val="00B317FF"/>
    <w:rsid w:val="00B46774"/>
    <w:rsid w:val="00B473C0"/>
    <w:rsid w:val="00B77739"/>
    <w:rsid w:val="00B80826"/>
    <w:rsid w:val="00B80A38"/>
    <w:rsid w:val="00B9156F"/>
    <w:rsid w:val="00B955CB"/>
    <w:rsid w:val="00BA27CF"/>
    <w:rsid w:val="00BC66FE"/>
    <w:rsid w:val="00BE35F9"/>
    <w:rsid w:val="00BE7836"/>
    <w:rsid w:val="00C045DE"/>
    <w:rsid w:val="00C16116"/>
    <w:rsid w:val="00C507C4"/>
    <w:rsid w:val="00C67D00"/>
    <w:rsid w:val="00C73CD9"/>
    <w:rsid w:val="00CA79D3"/>
    <w:rsid w:val="00CB4ADF"/>
    <w:rsid w:val="00CD6C6A"/>
    <w:rsid w:val="00CF7AA3"/>
    <w:rsid w:val="00D05F6E"/>
    <w:rsid w:val="00D6259A"/>
    <w:rsid w:val="00DA2CE7"/>
    <w:rsid w:val="00E01EB7"/>
    <w:rsid w:val="00E1509D"/>
    <w:rsid w:val="00E231BE"/>
    <w:rsid w:val="00E654E8"/>
    <w:rsid w:val="00EB63DF"/>
    <w:rsid w:val="00F0583B"/>
    <w:rsid w:val="00F121B2"/>
    <w:rsid w:val="00F12495"/>
    <w:rsid w:val="00F150BB"/>
    <w:rsid w:val="00F15380"/>
    <w:rsid w:val="00F24EF3"/>
    <w:rsid w:val="00F3482C"/>
    <w:rsid w:val="00FF2B10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6</cp:revision>
  <dcterms:created xsi:type="dcterms:W3CDTF">2025-06-09T07:10:00Z</dcterms:created>
  <dcterms:modified xsi:type="dcterms:W3CDTF">2025-09-13T14:06:00Z</dcterms:modified>
</cp:coreProperties>
</file>