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98E" w14:textId="24DA0C7E" w:rsidR="00985BBF" w:rsidRPr="0074667E" w:rsidRDefault="0074667E" w:rsidP="0074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4667E">
        <w:rPr>
          <w:b/>
          <w:bCs/>
        </w:rPr>
        <w:t xml:space="preserve">Bac 2026 Centres étrangers 1 Jour 2 Correction </w:t>
      </w:r>
      <w:hyperlink r:id="rId4" w:history="1">
        <w:r w:rsidRPr="0074667E">
          <w:rPr>
            <w:rStyle w:val="Lienhypertexte"/>
            <w:b/>
            <w:bCs/>
          </w:rPr>
          <w:t>https://www.labolycee.org</w:t>
        </w:r>
      </w:hyperlink>
    </w:p>
    <w:p w14:paraId="09F9CCF6" w14:textId="1B7E1996" w:rsidR="0074667E" w:rsidRPr="0074667E" w:rsidRDefault="0074667E" w:rsidP="0074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74667E">
        <w:rPr>
          <w:b/>
          <w:bCs/>
        </w:rPr>
        <w:t xml:space="preserve">Sciences physiques pour les sciences de </w:t>
      </w:r>
      <w:proofErr w:type="gramStart"/>
      <w:r w:rsidRPr="0074667E">
        <w:rPr>
          <w:b/>
          <w:bCs/>
        </w:rPr>
        <w:t>l’</w:t>
      </w:r>
      <w:proofErr w:type="spellStart"/>
      <w:r w:rsidRPr="0074667E">
        <w:rPr>
          <w:b/>
          <w:bCs/>
        </w:rPr>
        <w:t>ingénieur.e</w:t>
      </w:r>
      <w:proofErr w:type="spellEnd"/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(10 points - 30 min)</w:t>
      </w:r>
    </w:p>
    <w:p w14:paraId="5C217D90" w14:textId="4A061E0D" w:rsidR="0074667E" w:rsidRPr="0074667E" w:rsidRDefault="0074667E" w:rsidP="007466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4667E">
        <w:rPr>
          <w:b/>
          <w:bCs/>
        </w:rPr>
        <w:t>EXERCICE A – Une histoire de briques</w:t>
      </w:r>
      <w:r>
        <w:rPr>
          <w:b/>
          <w:bCs/>
        </w:rPr>
        <w:t xml:space="preserve"> </w:t>
      </w:r>
    </w:p>
    <w:p w14:paraId="02DE4A6E" w14:textId="77777777" w:rsidR="0074667E" w:rsidRDefault="0074667E" w:rsidP="0074667E"/>
    <w:p w14:paraId="1A70F245" w14:textId="5C935C18" w:rsidR="0074667E" w:rsidRDefault="0074667E" w:rsidP="0074667E">
      <w:pPr>
        <w:shd w:val="clear" w:color="auto" w:fill="D9D9D9" w:themeFill="background1" w:themeFillShade="D9"/>
      </w:pPr>
      <w:r>
        <w:t>Lors de la construction d’une maison, plusieurs matériaux peuvent être utilisés pour réaliser les murs</w:t>
      </w:r>
      <w:r>
        <w:t xml:space="preserve"> </w:t>
      </w:r>
      <w:r>
        <w:t>extérieurs. L’objectif de cet exercice est de comparer les performances thermiques d’un mur en</w:t>
      </w:r>
      <w:r>
        <w:t xml:space="preserve"> </w:t>
      </w:r>
      <w:r>
        <w:t>brique et d’un mur en béton.</w:t>
      </w:r>
    </w:p>
    <w:p w14:paraId="2A3CDAC5" w14:textId="77777777" w:rsidR="0074667E" w:rsidRDefault="0074667E" w:rsidP="0074667E">
      <w:pPr>
        <w:shd w:val="clear" w:color="auto" w:fill="D9D9D9" w:themeFill="background1" w:themeFillShade="D9"/>
      </w:pPr>
      <w:r>
        <w:t>Données</w:t>
      </w:r>
    </w:p>
    <w:p w14:paraId="7BA188A3" w14:textId="5A3906FA" w:rsidR="0074667E" w:rsidRDefault="0074667E" w:rsidP="00121034">
      <w:pPr>
        <w:shd w:val="clear" w:color="auto" w:fill="D9D9D9" w:themeFill="background1" w:themeFillShade="D9"/>
        <w:jc w:val="center"/>
      </w:pPr>
      <w:r>
        <w:t xml:space="preserve">− la résistance thermique, notée </w:t>
      </w:r>
      <w:proofErr w:type="spellStart"/>
      <w:r w:rsidRPr="0074667E">
        <w:rPr>
          <w:i/>
          <w:iCs/>
        </w:rPr>
        <w:t>R</w:t>
      </w:r>
      <w:r w:rsidRPr="0074667E">
        <w:rPr>
          <w:vertAlign w:val="subscript"/>
        </w:rPr>
        <w:t>th</w:t>
      </w:r>
      <w:proofErr w:type="spellEnd"/>
      <w:r>
        <w:t>, d’une paroi est liée aux grandeurs</w:t>
      </w:r>
      <w:r w:rsidRPr="0074667E">
        <w:rPr>
          <w:i/>
          <w:iCs/>
        </w:rPr>
        <w:t xml:space="preserve"> </w:t>
      </w:r>
      <w:r>
        <w:t xml:space="preserve">e, </w:t>
      </w:r>
      <w:r w:rsidRPr="0074667E">
        <w:rPr>
          <w:i/>
          <w:iCs/>
        </w:rPr>
        <w:t>λ</w:t>
      </w:r>
      <w:r>
        <w:t xml:space="preserve"> et </w:t>
      </w:r>
      <w:r w:rsidRPr="0074667E">
        <w:rPr>
          <w:i/>
          <w:iCs/>
        </w:rPr>
        <w:t>A</w:t>
      </w:r>
      <w:r>
        <w:t xml:space="preserve"> par la relation :</w:t>
      </w:r>
      <w:r>
        <w:t xml:space="preserve"> </w:t>
      </w:r>
      <w:r w:rsidRPr="0074667E">
        <w:rPr>
          <w:position w:val="-24"/>
        </w:rPr>
        <w:object w:dxaOrig="1120" w:dyaOrig="620" w14:anchorId="13142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6.25pt;height:30.75pt" o:ole="">
            <v:imagedata r:id="rId5" o:title=""/>
          </v:shape>
          <o:OLEObject Type="Embed" ProgID="Equation.DSMT4" ShapeID="_x0000_i1027" DrawAspect="Content" ObjectID="_1842789020" r:id="rId6"/>
        </w:object>
      </w:r>
    </w:p>
    <w:p w14:paraId="30C88ADB" w14:textId="77777777" w:rsidR="0074667E" w:rsidRDefault="0074667E" w:rsidP="0074667E">
      <w:pPr>
        <w:shd w:val="clear" w:color="auto" w:fill="D9D9D9" w:themeFill="background1" w:themeFillShade="D9"/>
      </w:pPr>
      <w:proofErr w:type="gramStart"/>
      <w:r>
        <w:t>avec</w:t>
      </w:r>
      <w:proofErr w:type="gramEnd"/>
      <w:r>
        <w:t xml:space="preserve"> :</w:t>
      </w:r>
    </w:p>
    <w:p w14:paraId="1883B832" w14:textId="77777777" w:rsidR="0074667E" w:rsidRDefault="0074667E" w:rsidP="0074667E">
      <w:pPr>
        <w:shd w:val="clear" w:color="auto" w:fill="D9D9D9" w:themeFill="background1" w:themeFillShade="D9"/>
      </w:pPr>
      <w:proofErr w:type="spellStart"/>
      <w:r w:rsidRPr="0074667E">
        <w:rPr>
          <w:i/>
          <w:iCs/>
        </w:rPr>
        <w:t>R</w:t>
      </w:r>
      <w:r w:rsidRPr="0074667E">
        <w:rPr>
          <w:vertAlign w:val="subscript"/>
        </w:rPr>
        <w:t>th</w:t>
      </w:r>
      <w:proofErr w:type="spellEnd"/>
      <w:r>
        <w:t xml:space="preserve"> : résistance thermique en K·W</w:t>
      </w:r>
      <w:r w:rsidRPr="0074667E">
        <w:rPr>
          <w:vertAlign w:val="superscript"/>
        </w:rPr>
        <w:t>−1</w:t>
      </w:r>
      <w:r>
        <w:t xml:space="preserve"> ;</w:t>
      </w:r>
    </w:p>
    <w:p w14:paraId="103E1854" w14:textId="77777777" w:rsidR="0074667E" w:rsidRDefault="0074667E" w:rsidP="0074667E">
      <w:pPr>
        <w:shd w:val="clear" w:color="auto" w:fill="D9D9D9" w:themeFill="background1" w:themeFillShade="D9"/>
      </w:pPr>
      <w:proofErr w:type="gramStart"/>
      <w:r w:rsidRPr="0074667E">
        <w:rPr>
          <w:i/>
          <w:iCs/>
        </w:rPr>
        <w:t>λ</w:t>
      </w:r>
      <w:proofErr w:type="gramEnd"/>
      <w:r>
        <w:t xml:space="preserve"> : conductivité thermique du matériau en W·K−1·m−1 ;</w:t>
      </w:r>
    </w:p>
    <w:p w14:paraId="393810E7" w14:textId="77777777" w:rsidR="0074667E" w:rsidRDefault="0074667E" w:rsidP="0074667E">
      <w:pPr>
        <w:shd w:val="clear" w:color="auto" w:fill="D9D9D9" w:themeFill="background1" w:themeFillShade="D9"/>
      </w:pPr>
      <w:proofErr w:type="gramStart"/>
      <w:r w:rsidRPr="0074667E">
        <w:rPr>
          <w:i/>
          <w:iCs/>
        </w:rPr>
        <w:t>e</w:t>
      </w:r>
      <w:proofErr w:type="gramEnd"/>
      <w:r>
        <w:t xml:space="preserve"> : épaisseur de la paroi en m ;</w:t>
      </w:r>
    </w:p>
    <w:p w14:paraId="36ED4536" w14:textId="77777777" w:rsidR="0074667E" w:rsidRDefault="0074667E" w:rsidP="0074667E">
      <w:pPr>
        <w:shd w:val="clear" w:color="auto" w:fill="D9D9D9" w:themeFill="background1" w:themeFillShade="D9"/>
      </w:pPr>
      <w:r w:rsidRPr="0074667E">
        <w:rPr>
          <w:i/>
          <w:iCs/>
        </w:rPr>
        <w:t>A</w:t>
      </w:r>
      <w:r>
        <w:t xml:space="preserve"> : aire de la paroi en m2.</w:t>
      </w:r>
    </w:p>
    <w:p w14:paraId="08FDA927" w14:textId="4784F38C" w:rsidR="0074667E" w:rsidRDefault="0074667E" w:rsidP="0074667E">
      <w:pPr>
        <w:shd w:val="clear" w:color="auto" w:fill="D9D9D9" w:themeFill="background1" w:themeFillShade="D9"/>
      </w:pPr>
      <w:r>
        <w:t>− conductivité thermique des deux matériaux :</w:t>
      </w:r>
    </w:p>
    <w:p w14:paraId="0219896F" w14:textId="087441DB" w:rsidR="0074667E" w:rsidRDefault="0074667E" w:rsidP="0074667E">
      <w:pPr>
        <w:shd w:val="clear" w:color="auto" w:fill="D9D9D9" w:themeFill="background1" w:themeFillShade="D9"/>
        <w:jc w:val="center"/>
        <w:rPr>
          <w:noProof/>
        </w:rPr>
      </w:pPr>
      <w:r w:rsidRPr="00C446D4">
        <w:rPr>
          <w:noProof/>
        </w:rPr>
        <w:drawing>
          <wp:inline distT="0" distB="0" distL="0" distR="0" wp14:anchorId="0AF43ADF" wp14:editId="119D4A53">
            <wp:extent cx="5848350" cy="55245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981D7" w14:textId="1402D866" w:rsidR="0074667E" w:rsidRPr="0074667E" w:rsidRDefault="0074667E" w:rsidP="0074667E">
      <w:pPr>
        <w:shd w:val="clear" w:color="auto" w:fill="D9D9D9" w:themeFill="background1" w:themeFillShade="D9"/>
        <w:rPr>
          <w:b/>
          <w:bCs/>
        </w:rPr>
      </w:pPr>
      <w:r w:rsidRPr="0074667E">
        <w:rPr>
          <w:b/>
          <w:bCs/>
        </w:rPr>
        <w:t xml:space="preserve">Q1. Montrer que la résistance thermique </w:t>
      </w:r>
      <w:proofErr w:type="spellStart"/>
      <w:r w:rsidRPr="0074667E">
        <w:rPr>
          <w:b/>
          <w:bCs/>
          <w:i/>
          <w:iCs/>
        </w:rPr>
        <w:t>R</w:t>
      </w:r>
      <w:r w:rsidRPr="0074667E">
        <w:rPr>
          <w:b/>
          <w:bCs/>
          <w:vertAlign w:val="subscript"/>
        </w:rPr>
        <w:t>th</w:t>
      </w:r>
      <w:proofErr w:type="spellEnd"/>
      <w:r w:rsidRPr="0074667E">
        <w:rPr>
          <w:b/>
          <w:bCs/>
        </w:rPr>
        <w:t xml:space="preserve"> d’un mur en brique d’aire </w:t>
      </w:r>
      <w:r w:rsidRPr="0074667E">
        <w:rPr>
          <w:b/>
          <w:bCs/>
          <w:i/>
          <w:iCs/>
        </w:rPr>
        <w:t>A</w:t>
      </w:r>
      <w:r w:rsidRPr="0074667E">
        <w:rPr>
          <w:b/>
          <w:bCs/>
        </w:rPr>
        <w:t xml:space="preserve"> = 7,50 m</w:t>
      </w:r>
      <w:r w:rsidRPr="0074667E">
        <w:rPr>
          <w:b/>
          <w:bCs/>
          <w:vertAlign w:val="superscript"/>
        </w:rPr>
        <w:t>2</w:t>
      </w:r>
      <w:r w:rsidRPr="0074667E">
        <w:rPr>
          <w:b/>
          <w:bCs/>
        </w:rPr>
        <w:t xml:space="preserve"> et d’épaisseur</w:t>
      </w:r>
      <w:r w:rsidRPr="0074667E">
        <w:rPr>
          <w:b/>
          <w:bCs/>
        </w:rPr>
        <w:t xml:space="preserve"> </w:t>
      </w:r>
      <w:r w:rsidRPr="0074667E">
        <w:rPr>
          <w:b/>
          <w:bCs/>
          <w:i/>
          <w:iCs/>
        </w:rPr>
        <w:t>e</w:t>
      </w:r>
      <w:r w:rsidRPr="0074667E">
        <w:rPr>
          <w:b/>
          <w:bCs/>
        </w:rPr>
        <w:t xml:space="preserve"> = 0,20 m vaut environ </w:t>
      </w:r>
      <w:proofErr w:type="spellStart"/>
      <w:r w:rsidRPr="0074667E">
        <w:rPr>
          <w:b/>
          <w:bCs/>
          <w:i/>
          <w:iCs/>
        </w:rPr>
        <w:t>R</w:t>
      </w:r>
      <w:r w:rsidRPr="0074667E">
        <w:rPr>
          <w:b/>
          <w:bCs/>
          <w:vertAlign w:val="subscript"/>
        </w:rPr>
        <w:t>th</w:t>
      </w:r>
      <w:proofErr w:type="spellEnd"/>
      <w:r w:rsidRPr="0074667E">
        <w:rPr>
          <w:b/>
          <w:bCs/>
        </w:rPr>
        <w:t xml:space="preserve"> = 3,9 × 10</w:t>
      </w:r>
      <w:r w:rsidRPr="0074667E">
        <w:rPr>
          <w:b/>
          <w:bCs/>
          <w:vertAlign w:val="superscript"/>
        </w:rPr>
        <w:t>−2</w:t>
      </w:r>
      <w:r w:rsidRPr="0074667E">
        <w:rPr>
          <w:b/>
          <w:bCs/>
        </w:rPr>
        <w:t xml:space="preserve"> K</w:t>
      </w:r>
      <w:r w:rsidRPr="0074667E">
        <w:rPr>
          <w:rFonts w:ascii="Cambria Math" w:hAnsi="Cambria Math" w:cs="Cambria Math"/>
          <w:b/>
          <w:bCs/>
        </w:rPr>
        <w:t>⋅</w:t>
      </w:r>
      <w:r w:rsidRPr="0074667E">
        <w:rPr>
          <w:b/>
          <w:bCs/>
        </w:rPr>
        <w:t>W</w:t>
      </w:r>
      <w:r w:rsidRPr="0074667E">
        <w:rPr>
          <w:rFonts w:cs="Arial"/>
          <w:b/>
          <w:bCs/>
          <w:vertAlign w:val="superscript"/>
        </w:rPr>
        <w:t>−</w:t>
      </w:r>
      <w:r w:rsidRPr="0074667E">
        <w:rPr>
          <w:b/>
          <w:bCs/>
          <w:vertAlign w:val="superscript"/>
        </w:rPr>
        <w:t>1</w:t>
      </w:r>
      <w:r w:rsidRPr="0074667E">
        <w:rPr>
          <w:b/>
          <w:bCs/>
        </w:rPr>
        <w:t>.</w:t>
      </w:r>
    </w:p>
    <w:p w14:paraId="146CEB50" w14:textId="7080BB1D" w:rsidR="0074667E" w:rsidRDefault="00121034" w:rsidP="0074667E">
      <w:r w:rsidRPr="00121034">
        <w:drawing>
          <wp:anchor distT="0" distB="0" distL="114300" distR="114300" simplePos="0" relativeHeight="251658240" behindDoc="0" locked="0" layoutInCell="1" allowOverlap="1" wp14:anchorId="6ED4F5C4" wp14:editId="7A9C625D">
            <wp:simplePos x="0" y="0"/>
            <wp:positionH relativeFrom="column">
              <wp:posOffset>3848735</wp:posOffset>
            </wp:positionH>
            <wp:positionV relativeFrom="paragraph">
              <wp:posOffset>110490</wp:posOffset>
            </wp:positionV>
            <wp:extent cx="2701290" cy="515599"/>
            <wp:effectExtent l="19050" t="19050" r="22860" b="18415"/>
            <wp:wrapNone/>
            <wp:docPr id="10185950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9509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035" cy="5210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667E">
        <w:rPr>
          <w:position w:val="-24"/>
        </w:rPr>
        <w:object w:dxaOrig="1120" w:dyaOrig="620" w14:anchorId="42F02DEE">
          <v:shape id="_x0000_i1031" type="#_x0000_t75" style="width:56.25pt;height:30.75pt" o:ole="">
            <v:imagedata r:id="rId5" o:title=""/>
          </v:shape>
          <o:OLEObject Type="Embed" ProgID="Equation.DSMT4" ShapeID="_x0000_i1031" DrawAspect="Content" ObjectID="_1842789021" r:id="rId9"/>
        </w:object>
      </w:r>
    </w:p>
    <w:p w14:paraId="1EB63680" w14:textId="1D089411" w:rsidR="00121034" w:rsidRDefault="00121034" w:rsidP="0074667E">
      <w:r w:rsidRPr="00121034">
        <w:rPr>
          <w:position w:val="-28"/>
        </w:rPr>
        <w:object w:dxaOrig="5380" w:dyaOrig="660" w14:anchorId="7ADB9480">
          <v:shape id="_x0000_i1038" type="#_x0000_t75" style="width:269.25pt;height:33pt" o:ole="">
            <v:imagedata r:id="rId10" o:title=""/>
          </v:shape>
          <o:OLEObject Type="Embed" ProgID="Equation.DSMT4" ShapeID="_x0000_i1038" DrawAspect="Content" ObjectID="_1842789022" r:id="rId11"/>
        </w:object>
      </w:r>
    </w:p>
    <w:p w14:paraId="405A6BB8" w14:textId="77777777" w:rsidR="00121034" w:rsidRDefault="00121034" w:rsidP="0074667E"/>
    <w:p w14:paraId="1593E47B" w14:textId="79E13AEC" w:rsidR="00121034" w:rsidRDefault="00121034" w:rsidP="00121034">
      <w:pPr>
        <w:shd w:val="clear" w:color="auto" w:fill="D9D9D9" w:themeFill="background1" w:themeFillShade="D9"/>
      </w:pPr>
      <w:r>
        <w:t>Le transfert thermique entre l’intérieur de l’habitation et l’extérieur se fait principalement par</w:t>
      </w:r>
      <w:r>
        <w:t xml:space="preserve"> </w:t>
      </w:r>
      <w:r>
        <w:t>conduction thermique.</w:t>
      </w:r>
    </w:p>
    <w:p w14:paraId="65B0F08A" w14:textId="77777777" w:rsidR="00121034" w:rsidRPr="00121034" w:rsidRDefault="00121034" w:rsidP="00121034">
      <w:pPr>
        <w:shd w:val="clear" w:color="auto" w:fill="D9D9D9" w:themeFill="background1" w:themeFillShade="D9"/>
        <w:rPr>
          <w:b/>
          <w:bCs/>
        </w:rPr>
      </w:pPr>
      <w:r w:rsidRPr="00121034">
        <w:rPr>
          <w:b/>
          <w:bCs/>
        </w:rPr>
        <w:t>Q2. Rappeler les deux autres modes de transfert thermique.</w:t>
      </w:r>
    </w:p>
    <w:p w14:paraId="66E616A1" w14:textId="198BE019" w:rsidR="00121034" w:rsidRDefault="00121034" w:rsidP="00121034">
      <w:r>
        <w:t>Il existe aussi le transfert par convection et par rayonnement.</w:t>
      </w:r>
    </w:p>
    <w:p w14:paraId="08D41152" w14:textId="77777777" w:rsidR="00121034" w:rsidRDefault="00121034" w:rsidP="00121034"/>
    <w:p w14:paraId="15C44B49" w14:textId="4BA2314C" w:rsidR="00121034" w:rsidRDefault="00121034" w:rsidP="00995BA0">
      <w:pPr>
        <w:shd w:val="clear" w:color="auto" w:fill="D9D9D9" w:themeFill="background1" w:themeFillShade="D9"/>
      </w:pPr>
      <w:r>
        <w:t xml:space="preserve">Pour le mur, le flux thermique </w:t>
      </w:r>
      <w:r w:rsidRPr="00121034">
        <w:rPr>
          <w:i/>
          <w:iCs/>
        </w:rPr>
        <w:t>ϕ</w:t>
      </w:r>
      <w:r>
        <w:t xml:space="preserve"> échangé entre l’intérieur de l’habitation à la température Tint et</w:t>
      </w:r>
      <w:r>
        <w:t xml:space="preserve"> </w:t>
      </w:r>
      <w:r>
        <w:t xml:space="preserve">l’extérieur à la température </w:t>
      </w:r>
      <w:proofErr w:type="spellStart"/>
      <w:r w:rsidRPr="00121034">
        <w:rPr>
          <w:i/>
          <w:iCs/>
        </w:rPr>
        <w:t>T</w:t>
      </w:r>
      <w:r w:rsidRPr="00121034">
        <w:rPr>
          <w:vertAlign w:val="subscript"/>
        </w:rPr>
        <w:t>ext</w:t>
      </w:r>
      <w:proofErr w:type="spellEnd"/>
      <w:r>
        <w:t xml:space="preserve"> à travers une paroi de résistance thermique </w:t>
      </w:r>
      <w:proofErr w:type="spellStart"/>
      <w:r w:rsidRPr="00121034">
        <w:rPr>
          <w:i/>
          <w:iCs/>
        </w:rPr>
        <w:t>R</w:t>
      </w:r>
      <w:r w:rsidRPr="00121034">
        <w:rPr>
          <w:vertAlign w:val="subscript"/>
        </w:rPr>
        <w:t>th</w:t>
      </w:r>
      <w:proofErr w:type="spellEnd"/>
      <w:r>
        <w:t xml:space="preserve"> est donné par la</w:t>
      </w:r>
      <w:r>
        <w:t xml:space="preserve"> </w:t>
      </w:r>
      <w:r>
        <w:t>relation :</w:t>
      </w:r>
      <w:r>
        <w:t xml:space="preserve"> </w:t>
      </w:r>
      <w:r w:rsidR="0057001B" w:rsidRPr="0057001B">
        <w:rPr>
          <w:position w:val="-30"/>
        </w:rPr>
        <w:object w:dxaOrig="1540" w:dyaOrig="720" w14:anchorId="44FEFCED">
          <v:shape id="_x0000_i1041" type="#_x0000_t75" style="width:77.25pt;height:36pt" o:ole="">
            <v:imagedata r:id="rId12" o:title=""/>
          </v:shape>
          <o:OLEObject Type="Embed" ProgID="Equation.DSMT4" ShapeID="_x0000_i1041" DrawAspect="Content" ObjectID="_1842789023" r:id="rId13"/>
        </w:object>
      </w:r>
      <w:r w:rsidR="0057001B">
        <w:t>.</w:t>
      </w:r>
    </w:p>
    <w:p w14:paraId="036A05C9" w14:textId="7053470B" w:rsidR="0057001B" w:rsidRPr="0057001B" w:rsidRDefault="0057001B" w:rsidP="0057001B">
      <w:pPr>
        <w:shd w:val="clear" w:color="auto" w:fill="D9D9D9" w:themeFill="background1" w:themeFillShade="D9"/>
        <w:rPr>
          <w:b/>
          <w:bCs/>
        </w:rPr>
      </w:pPr>
      <w:r w:rsidRPr="0057001B">
        <w:rPr>
          <w:b/>
          <w:bCs/>
        </w:rPr>
        <w:t>Q3. Prévoir le sens du transfert thermique observé un jour d’hiver pour une température de la paroi</w:t>
      </w:r>
      <w:r w:rsidRPr="0057001B">
        <w:rPr>
          <w:b/>
          <w:bCs/>
        </w:rPr>
        <w:t xml:space="preserve"> </w:t>
      </w:r>
      <w:r w:rsidRPr="0057001B">
        <w:rPr>
          <w:b/>
          <w:bCs/>
        </w:rPr>
        <w:t xml:space="preserve">intérieure </w:t>
      </w:r>
      <w:r w:rsidRPr="0057001B">
        <w:rPr>
          <w:b/>
          <w:bCs/>
          <w:i/>
          <w:iCs/>
        </w:rPr>
        <w:t>T</w:t>
      </w:r>
      <w:r w:rsidRPr="0057001B">
        <w:rPr>
          <w:b/>
          <w:bCs/>
          <w:vertAlign w:val="subscript"/>
        </w:rPr>
        <w:t>int</w:t>
      </w:r>
      <w:r w:rsidRPr="0057001B">
        <w:rPr>
          <w:b/>
          <w:bCs/>
        </w:rPr>
        <w:t xml:space="preserve"> = 19 °C et une température de paroi extérieure </w:t>
      </w:r>
      <w:proofErr w:type="spellStart"/>
      <w:r w:rsidRPr="0057001B">
        <w:rPr>
          <w:b/>
          <w:bCs/>
          <w:i/>
          <w:iCs/>
        </w:rPr>
        <w:t>T</w:t>
      </w:r>
      <w:r w:rsidRPr="0057001B">
        <w:rPr>
          <w:b/>
          <w:bCs/>
          <w:vertAlign w:val="subscript"/>
        </w:rPr>
        <w:t>ext</w:t>
      </w:r>
      <w:proofErr w:type="spellEnd"/>
      <w:r w:rsidRPr="0057001B">
        <w:rPr>
          <w:b/>
          <w:bCs/>
        </w:rPr>
        <w:t xml:space="preserve"> = 3,0 °C.</w:t>
      </w:r>
    </w:p>
    <w:p w14:paraId="56131B1E" w14:textId="00C922AF" w:rsidR="0057001B" w:rsidRDefault="00995BA0" w:rsidP="0057001B">
      <w:r>
        <w:t>Le transfert thermique a lieu du corps chaud vers le corps froid donc de la paroi intérieure vers la paroi extérieure.</w:t>
      </w:r>
    </w:p>
    <w:p w14:paraId="156CA320" w14:textId="5DCB29E5" w:rsidR="0057001B" w:rsidRPr="0057001B" w:rsidRDefault="0057001B" w:rsidP="0057001B">
      <w:pPr>
        <w:shd w:val="clear" w:color="auto" w:fill="D9D9D9" w:themeFill="background1" w:themeFillShade="D9"/>
        <w:rPr>
          <w:b/>
          <w:bCs/>
        </w:rPr>
      </w:pPr>
      <w:r w:rsidRPr="0057001B">
        <w:rPr>
          <w:b/>
          <w:bCs/>
        </w:rPr>
        <w:t xml:space="preserve">Q4. Montrer que ce flux thermique </w:t>
      </w:r>
      <w:r w:rsidRPr="0057001B">
        <w:rPr>
          <w:b/>
          <w:bCs/>
          <w:i/>
          <w:iCs/>
        </w:rPr>
        <w:t>ϕ</w:t>
      </w:r>
      <w:r w:rsidRPr="0057001B">
        <w:rPr>
          <w:b/>
          <w:bCs/>
        </w:rPr>
        <w:t xml:space="preserve"> vaut alors environ : </w:t>
      </w:r>
      <w:r w:rsidRPr="0057001B">
        <w:rPr>
          <w:b/>
          <w:bCs/>
          <w:i/>
          <w:iCs/>
        </w:rPr>
        <w:t>ϕ</w:t>
      </w:r>
      <w:r w:rsidRPr="0057001B">
        <w:rPr>
          <w:b/>
          <w:bCs/>
        </w:rPr>
        <w:t xml:space="preserve"> = 4,1 × 10</w:t>
      </w:r>
      <w:r w:rsidRPr="0057001B">
        <w:rPr>
          <w:b/>
          <w:bCs/>
          <w:vertAlign w:val="superscript"/>
        </w:rPr>
        <w:t>2</w:t>
      </w:r>
      <w:r w:rsidRPr="0057001B">
        <w:rPr>
          <w:b/>
          <w:bCs/>
        </w:rPr>
        <w:t xml:space="preserve"> W pour le mur en brique.</w:t>
      </w:r>
    </w:p>
    <w:p w14:paraId="417F6735" w14:textId="6C58F501" w:rsidR="0057001B" w:rsidRDefault="00995BA0" w:rsidP="0057001B">
      <w:r w:rsidRPr="0057001B">
        <w:rPr>
          <w:position w:val="-30"/>
        </w:rPr>
        <w:object w:dxaOrig="1540" w:dyaOrig="720" w14:anchorId="0FD4A8B6">
          <v:shape id="_x0000_i1042" type="#_x0000_t75" style="width:77.25pt;height:36pt" o:ole="">
            <v:imagedata r:id="rId12" o:title=""/>
          </v:shape>
          <o:OLEObject Type="Embed" ProgID="Equation.DSMT4" ShapeID="_x0000_i1042" DrawAspect="Content" ObjectID="_1842789024" r:id="rId14"/>
        </w:object>
      </w:r>
    </w:p>
    <w:p w14:paraId="681687BC" w14:textId="3821D338" w:rsidR="00995BA0" w:rsidRDefault="00995BA0" w:rsidP="0057001B">
      <w:r w:rsidRPr="00995BA0">
        <w:rPr>
          <w:position w:val="-28"/>
        </w:rPr>
        <w:object w:dxaOrig="3700" w:dyaOrig="700" w14:anchorId="17EF85E0">
          <v:shape id="_x0000_i1045" type="#_x0000_t75" style="width:185.25pt;height:35.25pt" o:ole="">
            <v:imagedata r:id="rId15" o:title=""/>
          </v:shape>
          <o:OLEObject Type="Embed" ProgID="Equation.DSMT4" ShapeID="_x0000_i1045" DrawAspect="Content" ObjectID="_1842789025" r:id="rId16"/>
        </w:object>
      </w:r>
    </w:p>
    <w:p w14:paraId="0F77E338" w14:textId="50E2CE85" w:rsidR="00995BA0" w:rsidRDefault="00995BA0" w:rsidP="0057001B">
      <w:r>
        <w:rPr>
          <w:i/>
          <w:iCs/>
        </w:rPr>
        <w:t>Remarque :</w:t>
      </w:r>
      <w:r>
        <w:t xml:space="preserve"> Pour une différence de température, il n’est pas utile de convertir les kelvins en degrés Celsius. (19 + 273 – (3+273) = 19 – 3 = 16 K = 16°C</w:t>
      </w:r>
    </w:p>
    <w:p w14:paraId="2819B323" w14:textId="77777777" w:rsidR="00995BA0" w:rsidRDefault="00995BA0">
      <w:pPr>
        <w:jc w:val="left"/>
      </w:pPr>
      <w:r>
        <w:br w:type="page"/>
      </w:r>
    </w:p>
    <w:p w14:paraId="1FA67BA9" w14:textId="77777777" w:rsidR="00995BA0" w:rsidRPr="00995BA0" w:rsidRDefault="00995BA0" w:rsidP="0057001B"/>
    <w:p w14:paraId="03BAB176" w14:textId="77777777" w:rsidR="0057001B" w:rsidRDefault="0057001B" w:rsidP="00995BA0">
      <w:pPr>
        <w:shd w:val="clear" w:color="auto" w:fill="D9D9D9" w:themeFill="background1" w:themeFillShade="D9"/>
      </w:pPr>
      <w:r>
        <w:t>Il est possible d’utiliser un mur en béton plutôt qu’un mur de brique.</w:t>
      </w:r>
    </w:p>
    <w:p w14:paraId="3DD2B4AE" w14:textId="5EA7934F" w:rsidR="0057001B" w:rsidRPr="0057001B" w:rsidRDefault="0057001B" w:rsidP="0057001B">
      <w:pPr>
        <w:shd w:val="clear" w:color="auto" w:fill="D9D9D9" w:themeFill="background1" w:themeFillShade="D9"/>
        <w:rPr>
          <w:b/>
          <w:bCs/>
        </w:rPr>
      </w:pPr>
      <w:r w:rsidRPr="0057001B">
        <w:rPr>
          <w:b/>
          <w:bCs/>
        </w:rPr>
        <w:t>Q5. On considère un mur de béton de même aire que le mur de brique précédent. Calculer</w:t>
      </w:r>
      <w:r w:rsidRPr="0057001B">
        <w:rPr>
          <w:b/>
          <w:bCs/>
        </w:rPr>
        <w:t xml:space="preserve"> </w:t>
      </w:r>
      <w:r w:rsidRPr="0057001B">
        <w:rPr>
          <w:b/>
          <w:bCs/>
        </w:rPr>
        <w:t>l’épaisseur de ce mur pour qu’il ait la même résistance thermique que le mur de brique.</w:t>
      </w:r>
    </w:p>
    <w:p w14:paraId="616E2F1A" w14:textId="62E4F3E3" w:rsidR="0057001B" w:rsidRDefault="00995BA0" w:rsidP="00121034">
      <w:r w:rsidRPr="0074667E">
        <w:rPr>
          <w:position w:val="-24"/>
        </w:rPr>
        <w:object w:dxaOrig="1120" w:dyaOrig="620" w14:anchorId="279E7887">
          <v:shape id="_x0000_i1046" type="#_x0000_t75" style="width:56.25pt;height:30.75pt" o:ole="">
            <v:imagedata r:id="rId5" o:title=""/>
          </v:shape>
          <o:OLEObject Type="Embed" ProgID="Equation.DSMT4" ShapeID="_x0000_i1046" DrawAspect="Content" ObjectID="_1842789026" r:id="rId17"/>
        </w:object>
      </w:r>
      <w:r>
        <w:t xml:space="preserve"> </w:t>
      </w:r>
      <w:proofErr w:type="gramStart"/>
      <w:r>
        <w:t>donc</w:t>
      </w:r>
      <w:proofErr w:type="gramEnd"/>
      <w:r>
        <w:t xml:space="preserve"> </w:t>
      </w:r>
      <w:r w:rsidRPr="00995BA0">
        <w:rPr>
          <w:position w:val="-12"/>
        </w:rPr>
        <w:object w:dxaOrig="1340" w:dyaOrig="360" w14:anchorId="7D33F9D1">
          <v:shape id="_x0000_i1049" type="#_x0000_t75" style="width:66.75pt;height:18pt" o:ole="">
            <v:imagedata r:id="rId18" o:title=""/>
          </v:shape>
          <o:OLEObject Type="Embed" ProgID="Equation.DSMT4" ShapeID="_x0000_i1049" DrawAspect="Content" ObjectID="_1842789027" r:id="rId19"/>
        </w:object>
      </w:r>
    </w:p>
    <w:p w14:paraId="6DB5420C" w14:textId="3AF28F2C" w:rsidR="00995BA0" w:rsidRPr="00995BA0" w:rsidRDefault="00995BA0" w:rsidP="00121034">
      <w:proofErr w:type="gramStart"/>
      <w:r>
        <w:rPr>
          <w:i/>
          <w:iCs/>
        </w:rPr>
        <w:t>e</w:t>
      </w:r>
      <w:proofErr w:type="gramEnd"/>
      <w:r>
        <w:t xml:space="preserve"> = 3,9×10</w:t>
      </w:r>
      <w:r>
        <w:rPr>
          <w:vertAlign w:val="superscript"/>
        </w:rPr>
        <w:t>–2</w:t>
      </w:r>
      <w:r>
        <w:t xml:space="preserve"> K·W</w:t>
      </w:r>
      <w:r>
        <w:rPr>
          <w:vertAlign w:val="superscript"/>
        </w:rPr>
        <w:t>-1</w:t>
      </w:r>
      <w:r>
        <w:t xml:space="preserve"> × 1,5 W·m</w:t>
      </w:r>
      <w:r>
        <w:rPr>
          <w:vertAlign w:val="superscript"/>
        </w:rPr>
        <w:t>-1</w:t>
      </w:r>
      <w:r>
        <w:t>·K</w:t>
      </w:r>
      <w:r>
        <w:rPr>
          <w:vertAlign w:val="superscript"/>
        </w:rPr>
        <w:t>-1</w:t>
      </w:r>
      <w:r>
        <w:t xml:space="preserve"> × 7,50 m</w:t>
      </w:r>
      <w:r>
        <w:rPr>
          <w:vertAlign w:val="superscript"/>
        </w:rPr>
        <w:t>2</w:t>
      </w:r>
      <w:r>
        <w:t xml:space="preserve"> = 0,43 m = 43 cm</w:t>
      </w:r>
    </w:p>
    <w:p w14:paraId="6B9D5A3E" w14:textId="57EE7CA3" w:rsidR="00995BA0" w:rsidRDefault="00995BA0" w:rsidP="00121034">
      <w:r w:rsidRPr="00995BA0">
        <w:drawing>
          <wp:anchor distT="0" distB="0" distL="114300" distR="114300" simplePos="0" relativeHeight="251659264" behindDoc="0" locked="0" layoutInCell="1" allowOverlap="1" wp14:anchorId="12B6FDB8" wp14:editId="3B22A571">
            <wp:simplePos x="0" y="0"/>
            <wp:positionH relativeFrom="column">
              <wp:posOffset>2743835</wp:posOffset>
            </wp:positionH>
            <wp:positionV relativeFrom="paragraph">
              <wp:posOffset>104140</wp:posOffset>
            </wp:positionV>
            <wp:extent cx="3756986" cy="1005927"/>
            <wp:effectExtent l="19050" t="19050" r="15240" b="22860"/>
            <wp:wrapNone/>
            <wp:docPr id="17516358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35859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6986" cy="100592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0C10F8CF" w14:textId="65BDB75D" w:rsidR="00995BA0" w:rsidRDefault="00995BA0" w:rsidP="00121034"/>
    <w:p w14:paraId="031EC7DB" w14:textId="77777777" w:rsidR="00995BA0" w:rsidRDefault="00995BA0" w:rsidP="00121034"/>
    <w:p w14:paraId="6DDC6CE7" w14:textId="77777777" w:rsidR="00990B58" w:rsidRDefault="00990B58" w:rsidP="00121034"/>
    <w:p w14:paraId="19C20116" w14:textId="77777777" w:rsidR="00990B58" w:rsidRDefault="00990B58" w:rsidP="00121034"/>
    <w:p w14:paraId="0211E231" w14:textId="77777777" w:rsidR="00990B58" w:rsidRDefault="00990B58" w:rsidP="00121034"/>
    <w:p w14:paraId="5F332BF4" w14:textId="77777777" w:rsidR="00990B58" w:rsidRDefault="00990B58" w:rsidP="00121034"/>
    <w:p w14:paraId="576C38CB" w14:textId="1AF4A563" w:rsidR="0057001B" w:rsidRDefault="00995BA0" w:rsidP="00990B58">
      <w:pPr>
        <w:ind w:left="4248" w:firstLine="708"/>
        <w:rPr>
          <w:i/>
          <w:iCs/>
        </w:rPr>
      </w:pPr>
      <w:r>
        <w:t>44 cm si</w:t>
      </w:r>
      <w:r w:rsidR="00990B58">
        <w:t xml:space="preserve"> </w:t>
      </w:r>
      <w:r>
        <w:t>l</w:t>
      </w:r>
      <w:r w:rsidR="00990B58">
        <w:t>’</w:t>
      </w:r>
      <w:r>
        <w:t xml:space="preserve">on utilise la valeur arrondie de </w:t>
      </w:r>
      <w:proofErr w:type="spellStart"/>
      <w:r>
        <w:rPr>
          <w:i/>
          <w:iCs/>
        </w:rPr>
        <w:t>R</w:t>
      </w:r>
      <w:r>
        <w:rPr>
          <w:i/>
          <w:iCs/>
          <w:vertAlign w:val="subscript"/>
        </w:rPr>
        <w:t>th</w:t>
      </w:r>
      <w:proofErr w:type="spellEnd"/>
    </w:p>
    <w:p w14:paraId="6FFBF1D8" w14:textId="77777777" w:rsidR="00990B58" w:rsidRDefault="00990B58" w:rsidP="00990B58"/>
    <w:p w14:paraId="6F596503" w14:textId="6452F1BC" w:rsidR="00990B58" w:rsidRPr="00990B58" w:rsidRDefault="00990B58" w:rsidP="00990B58">
      <w:pPr>
        <w:rPr>
          <w:b/>
          <w:bCs/>
          <w:i/>
          <w:iCs/>
        </w:rPr>
      </w:pPr>
      <w:r w:rsidRPr="00990B58">
        <w:rPr>
          <w:b/>
          <w:bCs/>
          <w:i/>
          <w:iCs/>
        </w:rPr>
        <w:t xml:space="preserve">Votre relecture est précieuse, merci de nous signaler d’éventuelles erreurs à </w:t>
      </w:r>
      <w:hyperlink r:id="rId21" w:history="1">
        <w:r w:rsidRPr="00990B58">
          <w:rPr>
            <w:rStyle w:val="Lienhypertexte"/>
            <w:b/>
            <w:bCs/>
            <w:i/>
            <w:iCs/>
          </w:rPr>
          <w:t>labolycee@labolycee.org</w:t>
        </w:r>
      </w:hyperlink>
      <w:r w:rsidRPr="00990B58">
        <w:rPr>
          <w:b/>
          <w:bCs/>
          <w:i/>
          <w:iCs/>
        </w:rPr>
        <w:t xml:space="preserve"> </w:t>
      </w:r>
    </w:p>
    <w:sectPr w:rsidR="00990B58" w:rsidRPr="00990B58" w:rsidSect="00B507E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" w:fontKey="{B1CA3996-162E-4186-A3D5-1A1B264F51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7E"/>
    <w:rsid w:val="000529F4"/>
    <w:rsid w:val="00060B57"/>
    <w:rsid w:val="000F70FE"/>
    <w:rsid w:val="00121034"/>
    <w:rsid w:val="00127733"/>
    <w:rsid w:val="0021216B"/>
    <w:rsid w:val="00290B46"/>
    <w:rsid w:val="0030164E"/>
    <w:rsid w:val="00336093"/>
    <w:rsid w:val="003B05DB"/>
    <w:rsid w:val="004468F1"/>
    <w:rsid w:val="0045319B"/>
    <w:rsid w:val="0057001B"/>
    <w:rsid w:val="00586A42"/>
    <w:rsid w:val="0059619F"/>
    <w:rsid w:val="00657B1E"/>
    <w:rsid w:val="006A36CD"/>
    <w:rsid w:val="0074667E"/>
    <w:rsid w:val="007C0552"/>
    <w:rsid w:val="00874167"/>
    <w:rsid w:val="008A3664"/>
    <w:rsid w:val="00902983"/>
    <w:rsid w:val="00985BBF"/>
    <w:rsid w:val="00986F51"/>
    <w:rsid w:val="00990B58"/>
    <w:rsid w:val="00995BA0"/>
    <w:rsid w:val="00B21A0F"/>
    <w:rsid w:val="00B335AE"/>
    <w:rsid w:val="00B507E8"/>
    <w:rsid w:val="00C27E47"/>
    <w:rsid w:val="00C739F7"/>
    <w:rsid w:val="00C96450"/>
    <w:rsid w:val="00CC0EF0"/>
    <w:rsid w:val="00D461E7"/>
    <w:rsid w:val="00EA5A16"/>
    <w:rsid w:val="00F178C2"/>
    <w:rsid w:val="00F27508"/>
    <w:rsid w:val="00FB193F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3262"/>
  <w15:chartTrackingRefBased/>
  <w15:docId w15:val="{996DEECF-6779-49F0-AC71-D52667EC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D"/>
    <w:pPr>
      <w:jc w:val="both"/>
    </w:pPr>
    <w:rPr>
      <w:rFonts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29F4"/>
    <w:pPr>
      <w:keepNext/>
      <w:outlineLvl w:val="0"/>
    </w:pPr>
    <w:rPr>
      <w:b/>
      <w:bCs/>
      <w:kern w:val="32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29F4"/>
    <w:pPr>
      <w:keepNext/>
      <w:tabs>
        <w:tab w:val="left" w:pos="567"/>
      </w:tabs>
      <w:outlineLvl w:val="1"/>
    </w:pPr>
    <w:rPr>
      <w:b/>
      <w:bCs/>
      <w:iCs/>
      <w:sz w:val="3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667E"/>
    <w:pPr>
      <w:keepNext/>
      <w:keepLines/>
      <w:spacing w:before="160" w:after="80"/>
      <w:outlineLvl w:val="2"/>
    </w:pPr>
    <w:rPr>
      <w:rFonts w:ascii="Calibri" w:hAnsi="Calibri"/>
      <w:color w:val="365F9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667E"/>
    <w:pPr>
      <w:keepNext/>
      <w:keepLines/>
      <w:spacing w:before="80" w:after="40"/>
      <w:outlineLvl w:val="3"/>
    </w:pPr>
    <w:rPr>
      <w:rFonts w:ascii="Calibri" w:hAnsi="Calibri"/>
      <w:i/>
      <w:iCs/>
      <w:color w:val="365F9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667E"/>
    <w:pPr>
      <w:keepNext/>
      <w:keepLines/>
      <w:spacing w:before="80" w:after="40"/>
      <w:outlineLvl w:val="4"/>
    </w:pPr>
    <w:rPr>
      <w:rFonts w:ascii="Calibri" w:hAnsi="Calibri"/>
      <w:color w:val="365F9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667E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667E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667E"/>
    <w:pPr>
      <w:keepNext/>
      <w:keepLines/>
      <w:outlineLvl w:val="7"/>
    </w:pPr>
    <w:rPr>
      <w:rFonts w:ascii="Calibri" w:hAnsi="Calibri"/>
      <w:i/>
      <w:iCs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667E"/>
    <w:pPr>
      <w:keepNext/>
      <w:keepLines/>
      <w:outlineLvl w:val="8"/>
    </w:pPr>
    <w:rPr>
      <w:rFonts w:ascii="Calibri" w:hAnsi="Calibri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529F4"/>
    <w:rPr>
      <w:rFonts w:eastAsia="Times New Roman" w:cs="Times New Roman"/>
      <w:b/>
      <w:bCs/>
      <w:kern w:val="32"/>
      <w:sz w:val="40"/>
      <w:szCs w:val="32"/>
      <w:u w:val="single"/>
    </w:rPr>
  </w:style>
  <w:style w:type="character" w:customStyle="1" w:styleId="Titre2Car">
    <w:name w:val="Titre 2 Car"/>
    <w:link w:val="Titre2"/>
    <w:uiPriority w:val="9"/>
    <w:semiHidden/>
    <w:rsid w:val="000529F4"/>
    <w:rPr>
      <w:rFonts w:eastAsia="Times New Roman" w:cs="Times New Roman"/>
      <w:b/>
      <w:bCs/>
      <w:iCs/>
      <w:sz w:val="32"/>
      <w:szCs w:val="28"/>
      <w:u w:val="single"/>
    </w:rPr>
  </w:style>
  <w:style w:type="character" w:customStyle="1" w:styleId="Titre3Car">
    <w:name w:val="Titre 3 Car"/>
    <w:link w:val="Titre3"/>
    <w:uiPriority w:val="9"/>
    <w:semiHidden/>
    <w:rsid w:val="0074667E"/>
    <w:rPr>
      <w:rFonts w:ascii="Calibri" w:eastAsia="Times New Roman" w:hAnsi="Calibri" w:cs="Times New Roman"/>
      <w:color w:val="365F91"/>
      <w:sz w:val="28"/>
      <w:szCs w:val="28"/>
    </w:rPr>
  </w:style>
  <w:style w:type="character" w:customStyle="1" w:styleId="Titre4Car">
    <w:name w:val="Titre 4 Car"/>
    <w:link w:val="Titre4"/>
    <w:uiPriority w:val="9"/>
    <w:semiHidden/>
    <w:rsid w:val="0074667E"/>
    <w:rPr>
      <w:rFonts w:ascii="Calibri" w:eastAsia="Times New Roman" w:hAnsi="Calibri" w:cs="Times New Roman"/>
      <w:i/>
      <w:iCs/>
      <w:color w:val="365F91"/>
      <w:szCs w:val="22"/>
    </w:rPr>
  </w:style>
  <w:style w:type="character" w:customStyle="1" w:styleId="Titre5Car">
    <w:name w:val="Titre 5 Car"/>
    <w:link w:val="Titre5"/>
    <w:uiPriority w:val="9"/>
    <w:semiHidden/>
    <w:rsid w:val="0074667E"/>
    <w:rPr>
      <w:rFonts w:ascii="Calibri" w:eastAsia="Times New Roman" w:hAnsi="Calibri" w:cs="Times New Roman"/>
      <w:color w:val="365F91"/>
      <w:szCs w:val="22"/>
    </w:rPr>
  </w:style>
  <w:style w:type="character" w:customStyle="1" w:styleId="Titre6Car">
    <w:name w:val="Titre 6 Car"/>
    <w:link w:val="Titre6"/>
    <w:uiPriority w:val="9"/>
    <w:semiHidden/>
    <w:rsid w:val="0074667E"/>
    <w:rPr>
      <w:rFonts w:ascii="Calibri" w:eastAsia="Times New Roman" w:hAnsi="Calibri" w:cs="Times New Roman"/>
      <w:i/>
      <w:iCs/>
      <w:color w:val="595959"/>
      <w:szCs w:val="22"/>
    </w:rPr>
  </w:style>
  <w:style w:type="character" w:customStyle="1" w:styleId="Titre7Car">
    <w:name w:val="Titre 7 Car"/>
    <w:link w:val="Titre7"/>
    <w:uiPriority w:val="9"/>
    <w:semiHidden/>
    <w:rsid w:val="0074667E"/>
    <w:rPr>
      <w:rFonts w:ascii="Calibri" w:eastAsia="Times New Roman" w:hAnsi="Calibri" w:cs="Times New Roman"/>
      <w:color w:val="595959"/>
      <w:szCs w:val="22"/>
    </w:rPr>
  </w:style>
  <w:style w:type="character" w:customStyle="1" w:styleId="Titre8Car">
    <w:name w:val="Titre 8 Car"/>
    <w:link w:val="Titre8"/>
    <w:uiPriority w:val="9"/>
    <w:semiHidden/>
    <w:rsid w:val="0074667E"/>
    <w:rPr>
      <w:rFonts w:ascii="Calibri" w:eastAsia="Times New Roman" w:hAnsi="Calibri" w:cs="Times New Roman"/>
      <w:i/>
      <w:iCs/>
      <w:color w:val="272727"/>
      <w:szCs w:val="22"/>
    </w:rPr>
  </w:style>
  <w:style w:type="character" w:customStyle="1" w:styleId="Titre9Car">
    <w:name w:val="Titre 9 Car"/>
    <w:link w:val="Titre9"/>
    <w:uiPriority w:val="9"/>
    <w:semiHidden/>
    <w:rsid w:val="0074667E"/>
    <w:rPr>
      <w:rFonts w:ascii="Calibri" w:eastAsia="Times New Roman" w:hAnsi="Calibri" w:cs="Times New Roman"/>
      <w:color w:val="272727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74667E"/>
    <w:pPr>
      <w:spacing w:after="80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74667E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667E"/>
    <w:pPr>
      <w:numPr>
        <w:ilvl w:val="1"/>
      </w:numPr>
      <w:spacing w:after="160"/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Sous-titreCar">
    <w:name w:val="Sous-titre Car"/>
    <w:link w:val="Sous-titre"/>
    <w:uiPriority w:val="11"/>
    <w:rsid w:val="0074667E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667E"/>
    <w:pPr>
      <w:spacing w:before="160" w:after="16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74667E"/>
    <w:rPr>
      <w:rFonts w:cs="Times New Roman"/>
      <w:i/>
      <w:iCs/>
      <w:color w:val="404040"/>
      <w:szCs w:val="22"/>
    </w:rPr>
  </w:style>
  <w:style w:type="paragraph" w:styleId="Paragraphedeliste">
    <w:name w:val="List Paragraph"/>
    <w:basedOn w:val="Normal"/>
    <w:uiPriority w:val="34"/>
    <w:qFormat/>
    <w:rsid w:val="0074667E"/>
    <w:pPr>
      <w:ind w:left="720"/>
      <w:contextualSpacing/>
    </w:pPr>
  </w:style>
  <w:style w:type="character" w:styleId="Accentuationintense">
    <w:name w:val="Intense Emphasis"/>
    <w:uiPriority w:val="21"/>
    <w:qFormat/>
    <w:rsid w:val="0074667E"/>
    <w:rPr>
      <w:i/>
      <w:iCs/>
      <w:color w:val="365F9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667E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tionintenseCar">
    <w:name w:val="Citation intense Car"/>
    <w:link w:val="Citationintense"/>
    <w:uiPriority w:val="30"/>
    <w:rsid w:val="0074667E"/>
    <w:rPr>
      <w:rFonts w:cs="Times New Roman"/>
      <w:i/>
      <w:iCs/>
      <w:color w:val="365F91"/>
      <w:szCs w:val="22"/>
    </w:rPr>
  </w:style>
  <w:style w:type="character" w:styleId="Rfrenceintense">
    <w:name w:val="Intense Reference"/>
    <w:uiPriority w:val="32"/>
    <w:qFormat/>
    <w:rsid w:val="0074667E"/>
    <w:rPr>
      <w:b/>
      <w:bCs/>
      <w:smallCaps/>
      <w:color w:val="365F91"/>
      <w:spacing w:val="5"/>
    </w:rPr>
  </w:style>
  <w:style w:type="character" w:styleId="Lienhypertexte">
    <w:name w:val="Hyperlink"/>
    <w:basedOn w:val="Policepardfaut"/>
    <w:uiPriority w:val="99"/>
    <w:unhideWhenUsed/>
    <w:rsid w:val="0074667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6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hyperlink" Target="mailto:labolycee@labolycee.org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hyperlink" Target="https://www.labolycee.org" TargetMode="Externa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CLEMENT</dc:creator>
  <cp:keywords/>
  <dc:description/>
  <cp:lastModifiedBy>jocelyn CLEMENT</cp:lastModifiedBy>
  <cp:revision>2</cp:revision>
  <cp:lastPrinted>2026-06-12T15:03:00Z</cp:lastPrinted>
  <dcterms:created xsi:type="dcterms:W3CDTF">2026-06-12T15:03:00Z</dcterms:created>
  <dcterms:modified xsi:type="dcterms:W3CDTF">2026-06-12T15:03:00Z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